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94" w:rsidRPr="00162185" w:rsidRDefault="00174E70" w:rsidP="003238BF">
      <w:pPr>
        <w:jc w:val="center"/>
        <w:rPr>
          <w:rFonts w:ascii="Times New Roman" w:hAnsi="Times New Roman" w:cs="Times New Roman"/>
          <w:sz w:val="24"/>
          <w:szCs w:val="24"/>
        </w:rPr>
      </w:pPr>
      <w:r w:rsidRPr="00162185">
        <w:rPr>
          <w:rFonts w:ascii="Times New Roman" w:hAnsi="Times New Roman" w:cs="Times New Roman"/>
          <w:sz w:val="24"/>
          <w:szCs w:val="24"/>
        </w:rPr>
        <w:t>NOTES</w:t>
      </w:r>
      <w:r w:rsidR="003238BF" w:rsidRPr="00162185">
        <w:rPr>
          <w:rFonts w:ascii="Times New Roman" w:hAnsi="Times New Roman" w:cs="Times New Roman"/>
          <w:sz w:val="24"/>
          <w:szCs w:val="24"/>
        </w:rPr>
        <w:t xml:space="preserve"> FOR PRESENTATION</w:t>
      </w:r>
    </w:p>
    <w:p w:rsidR="003238BF" w:rsidRPr="00162185" w:rsidRDefault="003238BF" w:rsidP="003238BF">
      <w:pPr>
        <w:jc w:val="center"/>
        <w:rPr>
          <w:rFonts w:ascii="Times New Roman" w:hAnsi="Times New Roman" w:cs="Times New Roman"/>
          <w:sz w:val="24"/>
          <w:szCs w:val="24"/>
        </w:rPr>
      </w:pPr>
      <w:r w:rsidRPr="00162185">
        <w:rPr>
          <w:rFonts w:ascii="Times New Roman" w:hAnsi="Times New Roman" w:cs="Times New Roman"/>
          <w:sz w:val="24"/>
          <w:szCs w:val="24"/>
        </w:rPr>
        <w:t>COU</w:t>
      </w:r>
      <w:r w:rsidR="00912CD5" w:rsidRPr="00162185">
        <w:rPr>
          <w:rFonts w:ascii="Times New Roman" w:hAnsi="Times New Roman" w:cs="Times New Roman"/>
          <w:sz w:val="24"/>
          <w:szCs w:val="24"/>
        </w:rPr>
        <w:t>N</w:t>
      </w:r>
      <w:r w:rsidRPr="00162185">
        <w:rPr>
          <w:rFonts w:ascii="Times New Roman" w:hAnsi="Times New Roman" w:cs="Times New Roman"/>
          <w:sz w:val="24"/>
          <w:szCs w:val="24"/>
        </w:rPr>
        <w:t>CIL OF AUSTRALIASIAN TRIBUNALS (SOUTH AUSTRALIA BRANCH)</w:t>
      </w:r>
    </w:p>
    <w:p w:rsidR="003238BF" w:rsidRPr="00162185" w:rsidRDefault="003238BF" w:rsidP="003238BF">
      <w:pPr>
        <w:jc w:val="center"/>
        <w:rPr>
          <w:rFonts w:ascii="Times New Roman" w:hAnsi="Times New Roman" w:cs="Times New Roman"/>
          <w:sz w:val="24"/>
          <w:szCs w:val="24"/>
        </w:rPr>
      </w:pPr>
    </w:p>
    <w:p w:rsidR="003238BF" w:rsidRPr="00162185" w:rsidRDefault="003238BF" w:rsidP="003238BF">
      <w:pPr>
        <w:jc w:val="center"/>
        <w:rPr>
          <w:rFonts w:ascii="Times New Roman" w:hAnsi="Times New Roman" w:cs="Times New Roman"/>
          <w:b/>
          <w:sz w:val="24"/>
          <w:szCs w:val="24"/>
        </w:rPr>
      </w:pPr>
      <w:r w:rsidRPr="00162185">
        <w:rPr>
          <w:rFonts w:ascii="Times New Roman" w:hAnsi="Times New Roman" w:cs="Times New Roman"/>
          <w:b/>
          <w:sz w:val="24"/>
          <w:szCs w:val="24"/>
        </w:rPr>
        <w:t>A CANADIAN PERSPECTIVE ON TRIBUNAL INDEPENDENCE</w:t>
      </w:r>
    </w:p>
    <w:p w:rsidR="003238BF" w:rsidRPr="00162185" w:rsidRDefault="003238BF" w:rsidP="00162185">
      <w:pPr>
        <w:spacing w:after="0"/>
        <w:jc w:val="center"/>
        <w:rPr>
          <w:rFonts w:ascii="Times New Roman" w:hAnsi="Times New Roman" w:cs="Times New Roman"/>
          <w:sz w:val="24"/>
          <w:szCs w:val="24"/>
        </w:rPr>
      </w:pPr>
      <w:r w:rsidRPr="00162185">
        <w:rPr>
          <w:rFonts w:ascii="Times New Roman" w:hAnsi="Times New Roman" w:cs="Times New Roman"/>
          <w:sz w:val="24"/>
          <w:szCs w:val="24"/>
        </w:rPr>
        <w:t xml:space="preserve">Professor Philip </w:t>
      </w:r>
      <w:proofErr w:type="spellStart"/>
      <w:r w:rsidRPr="00162185">
        <w:rPr>
          <w:rFonts w:ascii="Times New Roman" w:hAnsi="Times New Roman" w:cs="Times New Roman"/>
          <w:sz w:val="24"/>
          <w:szCs w:val="24"/>
        </w:rPr>
        <w:t>Bryden</w:t>
      </w:r>
      <w:proofErr w:type="spellEnd"/>
    </w:p>
    <w:p w:rsidR="003238BF" w:rsidRDefault="003238BF" w:rsidP="00162185">
      <w:pPr>
        <w:spacing w:after="0"/>
        <w:jc w:val="center"/>
        <w:rPr>
          <w:rFonts w:ascii="Times New Roman" w:hAnsi="Times New Roman" w:cs="Times New Roman"/>
          <w:sz w:val="24"/>
          <w:szCs w:val="24"/>
        </w:rPr>
      </w:pPr>
      <w:r w:rsidRPr="00162185">
        <w:rPr>
          <w:rFonts w:ascii="Times New Roman" w:hAnsi="Times New Roman" w:cs="Times New Roman"/>
          <w:sz w:val="24"/>
          <w:szCs w:val="24"/>
        </w:rPr>
        <w:t>Faculty of Law, University of Alberta</w:t>
      </w:r>
    </w:p>
    <w:p w:rsidR="00162185" w:rsidRDefault="00162185" w:rsidP="00162185">
      <w:pPr>
        <w:spacing w:after="0"/>
        <w:jc w:val="center"/>
        <w:rPr>
          <w:rFonts w:ascii="Times New Roman" w:hAnsi="Times New Roman" w:cs="Times New Roman"/>
          <w:sz w:val="24"/>
          <w:szCs w:val="24"/>
        </w:rPr>
      </w:pPr>
      <w:r>
        <w:rPr>
          <w:rFonts w:ascii="Times New Roman" w:hAnsi="Times New Roman" w:cs="Times New Roman"/>
          <w:sz w:val="24"/>
          <w:szCs w:val="24"/>
        </w:rPr>
        <w:t>Visiting Professor, Adelaide Law School</w:t>
      </w:r>
    </w:p>
    <w:p w:rsidR="00162185" w:rsidRPr="00162185" w:rsidRDefault="00162185" w:rsidP="00162185">
      <w:pPr>
        <w:spacing w:after="0"/>
        <w:jc w:val="center"/>
        <w:rPr>
          <w:rFonts w:ascii="Times New Roman" w:hAnsi="Times New Roman" w:cs="Times New Roman"/>
          <w:sz w:val="24"/>
          <w:szCs w:val="24"/>
        </w:rPr>
      </w:pPr>
    </w:p>
    <w:p w:rsidR="00AB2513" w:rsidRPr="00162185" w:rsidRDefault="00AB2513" w:rsidP="003238BF">
      <w:pPr>
        <w:jc w:val="center"/>
        <w:rPr>
          <w:rFonts w:ascii="Times New Roman" w:hAnsi="Times New Roman" w:cs="Times New Roman"/>
          <w:sz w:val="24"/>
          <w:szCs w:val="24"/>
        </w:rPr>
      </w:pPr>
      <w:r w:rsidRPr="00162185">
        <w:rPr>
          <w:rFonts w:ascii="Times New Roman" w:hAnsi="Times New Roman" w:cs="Times New Roman"/>
          <w:sz w:val="24"/>
          <w:szCs w:val="24"/>
        </w:rPr>
        <w:t>April 16, 2015</w:t>
      </w:r>
    </w:p>
    <w:p w:rsidR="00927208" w:rsidRPr="00162185" w:rsidRDefault="008B2E84" w:rsidP="00162185">
      <w:pPr>
        <w:spacing w:line="360" w:lineRule="auto"/>
        <w:jc w:val="both"/>
        <w:rPr>
          <w:rFonts w:ascii="Times New Roman" w:hAnsi="Times New Roman" w:cs="Times New Roman"/>
          <w:b/>
          <w:sz w:val="24"/>
          <w:szCs w:val="24"/>
        </w:rPr>
      </w:pPr>
      <w:r w:rsidRPr="00162185">
        <w:rPr>
          <w:rFonts w:ascii="Times New Roman" w:hAnsi="Times New Roman" w:cs="Times New Roman"/>
          <w:b/>
          <w:sz w:val="24"/>
          <w:szCs w:val="24"/>
        </w:rPr>
        <w:t>I</w:t>
      </w:r>
      <w:r w:rsidR="00927208" w:rsidRPr="00162185">
        <w:rPr>
          <w:rFonts w:ascii="Times New Roman" w:hAnsi="Times New Roman" w:cs="Times New Roman"/>
          <w:b/>
          <w:sz w:val="24"/>
          <w:szCs w:val="24"/>
        </w:rPr>
        <w:t>ntroduction</w:t>
      </w:r>
    </w:p>
    <w:p w:rsidR="00AB2513" w:rsidRPr="00162185" w:rsidRDefault="00AB2513"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I would like to thank </w:t>
      </w:r>
      <w:r w:rsidR="00A73025">
        <w:rPr>
          <w:rFonts w:ascii="Times New Roman" w:hAnsi="Times New Roman" w:cs="Times New Roman"/>
          <w:sz w:val="24"/>
          <w:szCs w:val="24"/>
        </w:rPr>
        <w:t xml:space="preserve">Professor </w:t>
      </w:r>
      <w:r w:rsidRPr="00162185">
        <w:rPr>
          <w:rFonts w:ascii="Times New Roman" w:hAnsi="Times New Roman" w:cs="Times New Roman"/>
          <w:sz w:val="24"/>
          <w:szCs w:val="24"/>
        </w:rPr>
        <w:t>Kath</w:t>
      </w:r>
      <w:r w:rsidR="00A73025">
        <w:rPr>
          <w:rFonts w:ascii="Times New Roman" w:hAnsi="Times New Roman" w:cs="Times New Roman"/>
          <w:sz w:val="24"/>
          <w:szCs w:val="24"/>
        </w:rPr>
        <w:t>leen</w:t>
      </w:r>
      <w:r w:rsidRPr="00162185">
        <w:rPr>
          <w:rFonts w:ascii="Times New Roman" w:hAnsi="Times New Roman" w:cs="Times New Roman"/>
          <w:sz w:val="24"/>
          <w:szCs w:val="24"/>
        </w:rPr>
        <w:t xml:space="preserve"> </w:t>
      </w:r>
      <w:proofErr w:type="spellStart"/>
      <w:r w:rsidRPr="00162185">
        <w:rPr>
          <w:rFonts w:ascii="Times New Roman" w:hAnsi="Times New Roman" w:cs="Times New Roman"/>
          <w:sz w:val="24"/>
          <w:szCs w:val="24"/>
        </w:rPr>
        <w:t>McEvoy</w:t>
      </w:r>
      <w:proofErr w:type="spellEnd"/>
      <w:r w:rsidRPr="00162185">
        <w:rPr>
          <w:rFonts w:ascii="Times New Roman" w:hAnsi="Times New Roman" w:cs="Times New Roman"/>
          <w:sz w:val="24"/>
          <w:szCs w:val="24"/>
        </w:rPr>
        <w:t xml:space="preserve"> for organizing this evening’s presentation and all of you for attending. </w:t>
      </w:r>
      <w:r w:rsidR="00640AAC" w:rsidRPr="00162185">
        <w:rPr>
          <w:rFonts w:ascii="Times New Roman" w:hAnsi="Times New Roman" w:cs="Times New Roman"/>
          <w:sz w:val="24"/>
          <w:szCs w:val="24"/>
        </w:rPr>
        <w:t>This is an informal session so I am quite happy to take questions and comments as I go along, though I hope we will also have time for more general discussion at the end of my presentation.</w:t>
      </w:r>
    </w:p>
    <w:p w:rsidR="00027AC3" w:rsidRPr="00162185" w:rsidRDefault="00AB2513"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I </w:t>
      </w:r>
      <w:r w:rsidR="003943A4" w:rsidRPr="00162185">
        <w:rPr>
          <w:rFonts w:ascii="Times New Roman" w:hAnsi="Times New Roman" w:cs="Times New Roman"/>
          <w:sz w:val="24"/>
          <w:szCs w:val="24"/>
        </w:rPr>
        <w:t xml:space="preserve">thought it might be </w:t>
      </w:r>
      <w:r w:rsidRPr="00162185">
        <w:rPr>
          <w:rFonts w:ascii="Times New Roman" w:hAnsi="Times New Roman" w:cs="Times New Roman"/>
          <w:sz w:val="24"/>
          <w:szCs w:val="24"/>
        </w:rPr>
        <w:t xml:space="preserve">interesting to </w:t>
      </w:r>
      <w:r w:rsidR="003943A4" w:rsidRPr="00162185">
        <w:rPr>
          <w:rFonts w:ascii="Times New Roman" w:hAnsi="Times New Roman" w:cs="Times New Roman"/>
          <w:sz w:val="24"/>
          <w:szCs w:val="24"/>
        </w:rPr>
        <w:t>focus my remarks this evening on</w:t>
      </w:r>
      <w:r w:rsidR="001A568D" w:rsidRPr="00162185">
        <w:rPr>
          <w:rFonts w:ascii="Times New Roman" w:hAnsi="Times New Roman" w:cs="Times New Roman"/>
          <w:sz w:val="24"/>
          <w:szCs w:val="24"/>
        </w:rPr>
        <w:t xml:space="preserve"> </w:t>
      </w:r>
      <w:r w:rsidR="003943A4" w:rsidRPr="00162185">
        <w:rPr>
          <w:rFonts w:ascii="Times New Roman" w:hAnsi="Times New Roman" w:cs="Times New Roman"/>
          <w:sz w:val="24"/>
          <w:szCs w:val="24"/>
        </w:rPr>
        <w:t xml:space="preserve">my impressions of </w:t>
      </w:r>
      <w:r w:rsidR="001A568D" w:rsidRPr="00162185">
        <w:rPr>
          <w:rFonts w:ascii="Times New Roman" w:hAnsi="Times New Roman" w:cs="Times New Roman"/>
          <w:sz w:val="24"/>
          <w:szCs w:val="24"/>
        </w:rPr>
        <w:t xml:space="preserve">Professor Pamela O’Connor’s excellent report on </w:t>
      </w:r>
      <w:r w:rsidR="001A568D" w:rsidRPr="00162185">
        <w:rPr>
          <w:rFonts w:ascii="Times New Roman" w:hAnsi="Times New Roman" w:cs="Times New Roman"/>
          <w:i/>
          <w:sz w:val="24"/>
          <w:szCs w:val="24"/>
        </w:rPr>
        <w:t>Tribunal Independence</w:t>
      </w:r>
      <w:r w:rsidR="001A568D" w:rsidRPr="00162185">
        <w:rPr>
          <w:rFonts w:ascii="Times New Roman" w:hAnsi="Times New Roman" w:cs="Times New Roman"/>
          <w:sz w:val="24"/>
          <w:szCs w:val="24"/>
        </w:rPr>
        <w:t xml:space="preserve"> that was prepared for COAT and published by the AIJA in 2013.</w:t>
      </w:r>
      <w:r w:rsidR="00162185">
        <w:rPr>
          <w:rStyle w:val="FootnoteReference"/>
          <w:rFonts w:ascii="Times New Roman" w:hAnsi="Times New Roman" w:cs="Times New Roman"/>
          <w:sz w:val="24"/>
          <w:szCs w:val="24"/>
        </w:rPr>
        <w:footnoteReference w:id="1"/>
      </w:r>
      <w:r w:rsidR="001A568D" w:rsidRPr="00162185">
        <w:rPr>
          <w:rFonts w:ascii="Times New Roman" w:hAnsi="Times New Roman" w:cs="Times New Roman"/>
          <w:sz w:val="24"/>
          <w:szCs w:val="24"/>
        </w:rPr>
        <w:t xml:space="preserve"> </w:t>
      </w:r>
      <w:r w:rsidR="003943A4" w:rsidRPr="00162185">
        <w:rPr>
          <w:rFonts w:ascii="Times New Roman" w:hAnsi="Times New Roman" w:cs="Times New Roman"/>
          <w:sz w:val="24"/>
          <w:szCs w:val="24"/>
        </w:rPr>
        <w:t xml:space="preserve">What I hope to do this evening is </w:t>
      </w:r>
      <w:r w:rsidR="001D4B5C" w:rsidRPr="00162185">
        <w:rPr>
          <w:rFonts w:ascii="Times New Roman" w:hAnsi="Times New Roman" w:cs="Times New Roman"/>
          <w:sz w:val="24"/>
          <w:szCs w:val="24"/>
        </w:rPr>
        <w:t xml:space="preserve">compare and contrast the approach taken in the Report with Canadian thinking on tribunal independence. </w:t>
      </w:r>
      <w:r w:rsidR="001A568D" w:rsidRPr="00162185">
        <w:rPr>
          <w:rFonts w:ascii="Times New Roman" w:hAnsi="Times New Roman" w:cs="Times New Roman"/>
          <w:sz w:val="24"/>
          <w:szCs w:val="24"/>
        </w:rPr>
        <w:t xml:space="preserve">I understand that COAT has invited Professor O’Connor to do some additional work on the report </w:t>
      </w:r>
      <w:r w:rsidR="00C5060B" w:rsidRPr="00162185">
        <w:rPr>
          <w:rFonts w:ascii="Times New Roman" w:hAnsi="Times New Roman" w:cs="Times New Roman"/>
          <w:sz w:val="24"/>
          <w:szCs w:val="24"/>
        </w:rPr>
        <w:t xml:space="preserve">and I look forward with interest to reading it when it is published, but the focus of my remarks this evening will be on the </w:t>
      </w:r>
      <w:r w:rsidR="00027AC3" w:rsidRPr="00162185">
        <w:rPr>
          <w:rFonts w:ascii="Times New Roman" w:hAnsi="Times New Roman" w:cs="Times New Roman"/>
          <w:sz w:val="24"/>
          <w:szCs w:val="24"/>
        </w:rPr>
        <w:t xml:space="preserve">2013 version of the </w:t>
      </w:r>
      <w:r w:rsidR="001D4B5C" w:rsidRPr="00162185">
        <w:rPr>
          <w:rFonts w:ascii="Times New Roman" w:hAnsi="Times New Roman" w:cs="Times New Roman"/>
          <w:sz w:val="24"/>
          <w:szCs w:val="24"/>
        </w:rPr>
        <w:t>R</w:t>
      </w:r>
      <w:r w:rsidR="00027AC3" w:rsidRPr="00162185">
        <w:rPr>
          <w:rFonts w:ascii="Times New Roman" w:hAnsi="Times New Roman" w:cs="Times New Roman"/>
          <w:sz w:val="24"/>
          <w:szCs w:val="24"/>
        </w:rPr>
        <w:t>eport.</w:t>
      </w:r>
    </w:p>
    <w:p w:rsidR="008A1EA1" w:rsidRPr="00162185" w:rsidRDefault="008A1EA1" w:rsidP="00162185">
      <w:pPr>
        <w:spacing w:line="360" w:lineRule="auto"/>
        <w:jc w:val="both"/>
        <w:rPr>
          <w:rFonts w:ascii="Times New Roman" w:hAnsi="Times New Roman" w:cs="Times New Roman"/>
          <w:b/>
          <w:sz w:val="24"/>
          <w:szCs w:val="24"/>
        </w:rPr>
      </w:pPr>
      <w:r w:rsidRPr="00162185">
        <w:rPr>
          <w:rFonts w:ascii="Times New Roman" w:hAnsi="Times New Roman" w:cs="Times New Roman"/>
          <w:b/>
          <w:sz w:val="24"/>
          <w:szCs w:val="24"/>
        </w:rPr>
        <w:t xml:space="preserve">The COAT </w:t>
      </w:r>
      <w:r w:rsidRPr="00162185">
        <w:rPr>
          <w:rFonts w:ascii="Times New Roman" w:hAnsi="Times New Roman" w:cs="Times New Roman"/>
          <w:b/>
          <w:i/>
          <w:sz w:val="24"/>
          <w:szCs w:val="24"/>
        </w:rPr>
        <w:t>Tribunal Independence</w:t>
      </w:r>
      <w:r w:rsidRPr="00162185">
        <w:rPr>
          <w:rFonts w:ascii="Times New Roman" w:hAnsi="Times New Roman" w:cs="Times New Roman"/>
          <w:b/>
          <w:sz w:val="24"/>
          <w:szCs w:val="24"/>
        </w:rPr>
        <w:t xml:space="preserve"> Report</w:t>
      </w:r>
    </w:p>
    <w:p w:rsidR="00CA7850" w:rsidRPr="00162185" w:rsidRDefault="00841019"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I propose to </w:t>
      </w:r>
      <w:r w:rsidR="004B3D34" w:rsidRPr="00162185">
        <w:rPr>
          <w:rFonts w:ascii="Times New Roman" w:hAnsi="Times New Roman" w:cs="Times New Roman"/>
          <w:sz w:val="24"/>
          <w:szCs w:val="24"/>
        </w:rPr>
        <w:t>structure my remarks by</w:t>
      </w:r>
      <w:r w:rsidRPr="00162185">
        <w:rPr>
          <w:rFonts w:ascii="Times New Roman" w:hAnsi="Times New Roman" w:cs="Times New Roman"/>
          <w:sz w:val="24"/>
          <w:szCs w:val="24"/>
        </w:rPr>
        <w:t xml:space="preserve"> </w:t>
      </w:r>
      <w:r w:rsidR="001D4B5C" w:rsidRPr="00162185">
        <w:rPr>
          <w:rFonts w:ascii="Times New Roman" w:hAnsi="Times New Roman" w:cs="Times New Roman"/>
          <w:sz w:val="24"/>
          <w:szCs w:val="24"/>
        </w:rPr>
        <w:t xml:space="preserve">looking </w:t>
      </w:r>
      <w:r w:rsidR="002A7CF8" w:rsidRPr="00162185">
        <w:rPr>
          <w:rFonts w:ascii="Times New Roman" w:hAnsi="Times New Roman" w:cs="Times New Roman"/>
          <w:sz w:val="24"/>
          <w:szCs w:val="24"/>
        </w:rPr>
        <w:t xml:space="preserve">briefly </w:t>
      </w:r>
      <w:r w:rsidR="001D4B5C" w:rsidRPr="00162185">
        <w:rPr>
          <w:rFonts w:ascii="Times New Roman" w:hAnsi="Times New Roman" w:cs="Times New Roman"/>
          <w:sz w:val="24"/>
          <w:szCs w:val="24"/>
        </w:rPr>
        <w:t xml:space="preserve">at the </w:t>
      </w:r>
      <w:r w:rsidR="004B3D34" w:rsidRPr="00162185">
        <w:rPr>
          <w:rFonts w:ascii="Times New Roman" w:hAnsi="Times New Roman" w:cs="Times New Roman"/>
          <w:sz w:val="24"/>
          <w:szCs w:val="24"/>
        </w:rPr>
        <w:t xml:space="preserve">conceptual foundations of the </w:t>
      </w:r>
      <w:r w:rsidR="003E4F39">
        <w:rPr>
          <w:rFonts w:ascii="Times New Roman" w:hAnsi="Times New Roman" w:cs="Times New Roman"/>
          <w:sz w:val="24"/>
          <w:szCs w:val="24"/>
        </w:rPr>
        <w:t>R</w:t>
      </w:r>
      <w:r w:rsidR="004B3D34" w:rsidRPr="00162185">
        <w:rPr>
          <w:rFonts w:ascii="Times New Roman" w:hAnsi="Times New Roman" w:cs="Times New Roman"/>
          <w:sz w:val="24"/>
          <w:szCs w:val="24"/>
        </w:rPr>
        <w:t xml:space="preserve">eport and then focusing on the </w:t>
      </w:r>
      <w:r w:rsidR="003E4F39">
        <w:rPr>
          <w:rFonts w:ascii="Times New Roman" w:hAnsi="Times New Roman" w:cs="Times New Roman"/>
          <w:sz w:val="24"/>
          <w:szCs w:val="24"/>
        </w:rPr>
        <w:t>R</w:t>
      </w:r>
      <w:r w:rsidR="004B3D34" w:rsidRPr="00162185">
        <w:rPr>
          <w:rFonts w:ascii="Times New Roman" w:hAnsi="Times New Roman" w:cs="Times New Roman"/>
          <w:sz w:val="24"/>
          <w:szCs w:val="24"/>
        </w:rPr>
        <w:t xml:space="preserve">eport’s findings in the areas of administrative independence, institutional independence and adjudicative independence. Before I do so, however, I should start by acknowledging what I think is the very high overall quality of the </w:t>
      </w:r>
      <w:r w:rsidR="00162185">
        <w:rPr>
          <w:rFonts w:ascii="Times New Roman" w:hAnsi="Times New Roman" w:cs="Times New Roman"/>
          <w:sz w:val="24"/>
          <w:szCs w:val="24"/>
        </w:rPr>
        <w:t>R</w:t>
      </w:r>
      <w:r w:rsidR="004B3D34" w:rsidRPr="00162185">
        <w:rPr>
          <w:rFonts w:ascii="Times New Roman" w:hAnsi="Times New Roman" w:cs="Times New Roman"/>
          <w:sz w:val="24"/>
          <w:szCs w:val="24"/>
        </w:rPr>
        <w:t xml:space="preserve">eport. It is thoroughly researched, extremely thoughtful, and well organized. Naturally its focus is on Australian and New Zealand tribunals but it draws </w:t>
      </w:r>
      <w:r w:rsidR="005A622D" w:rsidRPr="00162185">
        <w:rPr>
          <w:rFonts w:ascii="Times New Roman" w:hAnsi="Times New Roman" w:cs="Times New Roman"/>
          <w:sz w:val="24"/>
          <w:szCs w:val="24"/>
        </w:rPr>
        <w:t xml:space="preserve">extensively </w:t>
      </w:r>
      <w:r w:rsidR="004B3D34" w:rsidRPr="00162185">
        <w:rPr>
          <w:rFonts w:ascii="Times New Roman" w:hAnsi="Times New Roman" w:cs="Times New Roman"/>
          <w:sz w:val="24"/>
          <w:szCs w:val="24"/>
        </w:rPr>
        <w:t xml:space="preserve">on developments in Canada and the United Kingdom as well. In my view it is a very significant addition to the literature </w:t>
      </w:r>
      <w:r w:rsidR="004B3D34" w:rsidRPr="00162185">
        <w:rPr>
          <w:rFonts w:ascii="Times New Roman" w:hAnsi="Times New Roman" w:cs="Times New Roman"/>
          <w:sz w:val="24"/>
          <w:szCs w:val="24"/>
        </w:rPr>
        <w:lastRenderedPageBreak/>
        <w:t xml:space="preserve">on tribunal independence.  I think COAT should be proud to have sponsored it and I look forward </w:t>
      </w:r>
      <w:r w:rsidR="00CA7850" w:rsidRPr="00162185">
        <w:rPr>
          <w:rFonts w:ascii="Times New Roman" w:hAnsi="Times New Roman" w:cs="Times New Roman"/>
          <w:sz w:val="24"/>
          <w:szCs w:val="24"/>
        </w:rPr>
        <w:t>with interest to its further development.</w:t>
      </w:r>
    </w:p>
    <w:p w:rsidR="00CA7850" w:rsidRPr="00162185" w:rsidRDefault="00536CDF"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Report </w:t>
      </w:r>
      <w:r w:rsidR="00CA7850" w:rsidRPr="00162185">
        <w:rPr>
          <w:rFonts w:ascii="Times New Roman" w:hAnsi="Times New Roman" w:cs="Times New Roman"/>
          <w:sz w:val="24"/>
          <w:szCs w:val="24"/>
        </w:rPr>
        <w:t xml:space="preserve">itself </w:t>
      </w:r>
      <w:r w:rsidRPr="00162185">
        <w:rPr>
          <w:rFonts w:ascii="Times New Roman" w:hAnsi="Times New Roman" w:cs="Times New Roman"/>
          <w:sz w:val="24"/>
          <w:szCs w:val="24"/>
        </w:rPr>
        <w:t xml:space="preserve">begins with an extended introduction </w:t>
      </w:r>
      <w:r w:rsidR="00CA7850" w:rsidRPr="00162185">
        <w:rPr>
          <w:rFonts w:ascii="Times New Roman" w:hAnsi="Times New Roman" w:cs="Times New Roman"/>
          <w:sz w:val="24"/>
          <w:szCs w:val="24"/>
        </w:rPr>
        <w:t>to the concept of tribunal independence, which is then continued in the second chapter</w:t>
      </w:r>
      <w:r w:rsidR="00DB2CF4">
        <w:rPr>
          <w:rFonts w:ascii="Times New Roman" w:hAnsi="Times New Roman" w:cs="Times New Roman"/>
          <w:sz w:val="24"/>
          <w:szCs w:val="24"/>
        </w:rPr>
        <w:t>. This chapter</w:t>
      </w:r>
      <w:r w:rsidRPr="00162185">
        <w:rPr>
          <w:rFonts w:ascii="Times New Roman" w:hAnsi="Times New Roman" w:cs="Times New Roman"/>
          <w:sz w:val="24"/>
          <w:szCs w:val="24"/>
        </w:rPr>
        <w:t xml:space="preserve"> explores the distinction between “de facto” and “de jure” independence as part of a discussion of how one might go about measuring independence. </w:t>
      </w:r>
      <w:r w:rsidR="00CA7850" w:rsidRPr="00162185">
        <w:rPr>
          <w:rFonts w:ascii="Times New Roman" w:hAnsi="Times New Roman" w:cs="Times New Roman"/>
          <w:sz w:val="24"/>
          <w:szCs w:val="24"/>
        </w:rPr>
        <w:t>This introduction is important because it frames the discussion of the different aspects of independence that will be explored in more detail in subsequent chapters. The Report, in my view correctly, observes that tribunal independence is related to judicial independence</w:t>
      </w:r>
      <w:r w:rsidR="005A622D" w:rsidRPr="00162185">
        <w:rPr>
          <w:rFonts w:ascii="Times New Roman" w:hAnsi="Times New Roman" w:cs="Times New Roman"/>
          <w:sz w:val="24"/>
          <w:szCs w:val="24"/>
        </w:rPr>
        <w:t>,</w:t>
      </w:r>
      <w:r w:rsidR="00CA7850" w:rsidRPr="00162185">
        <w:rPr>
          <w:rFonts w:ascii="Times New Roman" w:hAnsi="Times New Roman" w:cs="Times New Roman"/>
          <w:sz w:val="24"/>
          <w:szCs w:val="24"/>
        </w:rPr>
        <w:t xml:space="preserve"> but suggests that it should be conceptualized in a s</w:t>
      </w:r>
      <w:r w:rsidR="003E4F39">
        <w:rPr>
          <w:rFonts w:ascii="Times New Roman" w:hAnsi="Times New Roman" w:cs="Times New Roman"/>
          <w:sz w:val="24"/>
          <w:szCs w:val="24"/>
        </w:rPr>
        <w:t>omewhat</w:t>
      </w:r>
      <w:r w:rsidR="00CA7850" w:rsidRPr="00162185">
        <w:rPr>
          <w:rFonts w:ascii="Times New Roman" w:hAnsi="Times New Roman" w:cs="Times New Roman"/>
          <w:sz w:val="24"/>
          <w:szCs w:val="24"/>
        </w:rPr>
        <w:t xml:space="preserve"> different way that reflects the differences in the institutional arrangements between tribunals and courts.</w:t>
      </w:r>
    </w:p>
    <w:p w:rsidR="0055377D" w:rsidRPr="00162185" w:rsidRDefault="00CA7850"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Report refers on a number of occasions to the </w:t>
      </w:r>
      <w:r w:rsidR="0055377D" w:rsidRPr="00162185">
        <w:rPr>
          <w:rFonts w:ascii="Times New Roman" w:hAnsi="Times New Roman" w:cs="Times New Roman"/>
          <w:sz w:val="24"/>
          <w:szCs w:val="24"/>
        </w:rPr>
        <w:t>guarantees of judicial independence in the Canadian constitution and uses Canadian jurisprudence to help inform its discussion of institutional independence, but it does</w:t>
      </w:r>
      <w:r w:rsidR="00162185">
        <w:rPr>
          <w:rFonts w:ascii="Times New Roman" w:hAnsi="Times New Roman" w:cs="Times New Roman"/>
          <w:sz w:val="24"/>
          <w:szCs w:val="24"/>
        </w:rPr>
        <w:t xml:space="preserve"> </w:t>
      </w:r>
      <w:r w:rsidR="0055377D" w:rsidRPr="00162185">
        <w:rPr>
          <w:rFonts w:ascii="Times New Roman" w:hAnsi="Times New Roman" w:cs="Times New Roman"/>
          <w:sz w:val="24"/>
          <w:szCs w:val="24"/>
        </w:rPr>
        <w:t>n</w:t>
      </w:r>
      <w:r w:rsidR="00162185">
        <w:rPr>
          <w:rFonts w:ascii="Times New Roman" w:hAnsi="Times New Roman" w:cs="Times New Roman"/>
          <w:sz w:val="24"/>
          <w:szCs w:val="24"/>
        </w:rPr>
        <w:t>o</w:t>
      </w:r>
      <w:r w:rsidR="0055377D" w:rsidRPr="00162185">
        <w:rPr>
          <w:rFonts w:ascii="Times New Roman" w:hAnsi="Times New Roman" w:cs="Times New Roman"/>
          <w:sz w:val="24"/>
          <w:szCs w:val="24"/>
        </w:rPr>
        <w:t xml:space="preserve">t </w:t>
      </w:r>
      <w:r w:rsidR="00640AAC" w:rsidRPr="00162185">
        <w:rPr>
          <w:rFonts w:ascii="Times New Roman" w:hAnsi="Times New Roman" w:cs="Times New Roman"/>
          <w:sz w:val="24"/>
          <w:szCs w:val="24"/>
        </w:rPr>
        <w:t xml:space="preserve">suggest that </w:t>
      </w:r>
      <w:r w:rsidR="002A7CF8" w:rsidRPr="00162185">
        <w:rPr>
          <w:rFonts w:ascii="Times New Roman" w:hAnsi="Times New Roman" w:cs="Times New Roman"/>
          <w:sz w:val="24"/>
          <w:szCs w:val="24"/>
        </w:rPr>
        <w:t xml:space="preserve">Australian or New Zealand </w:t>
      </w:r>
      <w:r w:rsidR="00640AAC" w:rsidRPr="00162185">
        <w:rPr>
          <w:rFonts w:ascii="Times New Roman" w:hAnsi="Times New Roman" w:cs="Times New Roman"/>
          <w:sz w:val="24"/>
          <w:szCs w:val="24"/>
        </w:rPr>
        <w:t xml:space="preserve">tribunals should be </w:t>
      </w:r>
      <w:r w:rsidR="0055377D" w:rsidRPr="00162185">
        <w:rPr>
          <w:rFonts w:ascii="Times New Roman" w:hAnsi="Times New Roman" w:cs="Times New Roman"/>
          <w:sz w:val="24"/>
          <w:szCs w:val="24"/>
        </w:rPr>
        <w:t>assimilate</w:t>
      </w:r>
      <w:r w:rsidR="00640AAC" w:rsidRPr="00162185">
        <w:rPr>
          <w:rFonts w:ascii="Times New Roman" w:hAnsi="Times New Roman" w:cs="Times New Roman"/>
          <w:sz w:val="24"/>
          <w:szCs w:val="24"/>
        </w:rPr>
        <w:t>d</w:t>
      </w:r>
      <w:r w:rsidR="0055377D" w:rsidRPr="00162185">
        <w:rPr>
          <w:rFonts w:ascii="Times New Roman" w:hAnsi="Times New Roman" w:cs="Times New Roman"/>
          <w:sz w:val="24"/>
          <w:szCs w:val="24"/>
        </w:rPr>
        <w:t xml:space="preserve"> within the judicial branch of government as the </w:t>
      </w:r>
      <w:proofErr w:type="spellStart"/>
      <w:r w:rsidR="0055377D" w:rsidRPr="00162185">
        <w:rPr>
          <w:rFonts w:ascii="Times New Roman" w:hAnsi="Times New Roman" w:cs="Times New Roman"/>
          <w:sz w:val="24"/>
          <w:szCs w:val="24"/>
        </w:rPr>
        <w:t>Legatt</w:t>
      </w:r>
      <w:proofErr w:type="spellEnd"/>
      <w:r w:rsidR="0055377D" w:rsidRPr="00162185">
        <w:rPr>
          <w:rFonts w:ascii="Times New Roman" w:hAnsi="Times New Roman" w:cs="Times New Roman"/>
          <w:sz w:val="24"/>
          <w:szCs w:val="24"/>
        </w:rPr>
        <w:t xml:space="preserve"> Report </w:t>
      </w:r>
      <w:r w:rsidR="00640AAC" w:rsidRPr="00162185">
        <w:rPr>
          <w:rFonts w:ascii="Times New Roman" w:hAnsi="Times New Roman" w:cs="Times New Roman"/>
          <w:sz w:val="24"/>
          <w:szCs w:val="24"/>
        </w:rPr>
        <w:t>proposed</w:t>
      </w:r>
      <w:r w:rsidR="0055377D" w:rsidRPr="00162185">
        <w:rPr>
          <w:rFonts w:ascii="Times New Roman" w:hAnsi="Times New Roman" w:cs="Times New Roman"/>
          <w:sz w:val="24"/>
          <w:szCs w:val="24"/>
        </w:rPr>
        <w:t xml:space="preserve"> in the UK.</w:t>
      </w:r>
      <w:r w:rsidR="00162185">
        <w:rPr>
          <w:rStyle w:val="FootnoteReference"/>
          <w:rFonts w:ascii="Times New Roman" w:hAnsi="Times New Roman" w:cs="Times New Roman"/>
          <w:sz w:val="24"/>
          <w:szCs w:val="24"/>
        </w:rPr>
        <w:footnoteReference w:id="2"/>
      </w:r>
      <w:r w:rsidR="0055377D" w:rsidRPr="00162185">
        <w:rPr>
          <w:rFonts w:ascii="Times New Roman" w:hAnsi="Times New Roman" w:cs="Times New Roman"/>
          <w:sz w:val="24"/>
          <w:szCs w:val="24"/>
        </w:rPr>
        <w:t xml:space="preserve"> You will be more familiar than I am with the impediments to that kind of assimilation within Australia’s constitutional arrangements, but I thought you might be interested to know that there has been a concerted, though ultimately unsuccessful, effort to bring at least some tribunals within the scope of the unwritten constitutional guarantee of judicial independence in Canada.</w:t>
      </w:r>
      <w:r w:rsidR="00D703CB">
        <w:rPr>
          <w:rStyle w:val="FootnoteReference"/>
          <w:rFonts w:ascii="Times New Roman" w:hAnsi="Times New Roman" w:cs="Times New Roman"/>
          <w:sz w:val="24"/>
          <w:szCs w:val="24"/>
        </w:rPr>
        <w:footnoteReference w:id="3"/>
      </w:r>
    </w:p>
    <w:p w:rsidR="002A7CF8" w:rsidRPr="00162185" w:rsidRDefault="0055377D"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I do</w:t>
      </w:r>
      <w:r w:rsidR="00D703CB">
        <w:rPr>
          <w:rFonts w:ascii="Times New Roman" w:hAnsi="Times New Roman" w:cs="Times New Roman"/>
          <w:sz w:val="24"/>
          <w:szCs w:val="24"/>
        </w:rPr>
        <w:t xml:space="preserve"> </w:t>
      </w:r>
      <w:r w:rsidRPr="00162185">
        <w:rPr>
          <w:rFonts w:ascii="Times New Roman" w:hAnsi="Times New Roman" w:cs="Times New Roman"/>
          <w:sz w:val="24"/>
          <w:szCs w:val="24"/>
        </w:rPr>
        <w:t>n</w:t>
      </w:r>
      <w:r w:rsidR="00D703CB">
        <w:rPr>
          <w:rFonts w:ascii="Times New Roman" w:hAnsi="Times New Roman" w:cs="Times New Roman"/>
          <w:sz w:val="24"/>
          <w:szCs w:val="24"/>
        </w:rPr>
        <w:t>o</w:t>
      </w:r>
      <w:r w:rsidRPr="00162185">
        <w:rPr>
          <w:rFonts w:ascii="Times New Roman" w:hAnsi="Times New Roman" w:cs="Times New Roman"/>
          <w:sz w:val="24"/>
          <w:szCs w:val="24"/>
        </w:rPr>
        <w:t>t propose to go into great detail concerning the Canadian jurisprudence, though I am happy to do so in response to question</w:t>
      </w:r>
      <w:r w:rsidR="005A622D" w:rsidRPr="00162185">
        <w:rPr>
          <w:rFonts w:ascii="Times New Roman" w:hAnsi="Times New Roman" w:cs="Times New Roman"/>
          <w:sz w:val="24"/>
          <w:szCs w:val="24"/>
        </w:rPr>
        <w:t>s</w:t>
      </w:r>
      <w:r w:rsidRPr="00162185">
        <w:rPr>
          <w:rFonts w:ascii="Times New Roman" w:hAnsi="Times New Roman" w:cs="Times New Roman"/>
          <w:sz w:val="24"/>
          <w:szCs w:val="24"/>
        </w:rPr>
        <w:t xml:space="preserve"> if that would be of interest to you.</w:t>
      </w:r>
      <w:r w:rsidR="00041182">
        <w:rPr>
          <w:rStyle w:val="FootnoteReference"/>
          <w:rFonts w:ascii="Times New Roman" w:hAnsi="Times New Roman" w:cs="Times New Roman"/>
          <w:sz w:val="24"/>
          <w:szCs w:val="24"/>
        </w:rPr>
        <w:footnoteReference w:id="4"/>
      </w:r>
      <w:r w:rsidRPr="00162185">
        <w:rPr>
          <w:rFonts w:ascii="Times New Roman" w:hAnsi="Times New Roman" w:cs="Times New Roman"/>
          <w:sz w:val="24"/>
          <w:szCs w:val="24"/>
        </w:rPr>
        <w:t xml:space="preserve"> Suffice it to say, however, that the text of our </w:t>
      </w:r>
      <w:r w:rsidR="00F06547">
        <w:rPr>
          <w:rFonts w:ascii="Times New Roman" w:hAnsi="Times New Roman" w:cs="Times New Roman"/>
          <w:sz w:val="24"/>
          <w:szCs w:val="24"/>
        </w:rPr>
        <w:t>C</w:t>
      </w:r>
      <w:r w:rsidRPr="00162185">
        <w:rPr>
          <w:rFonts w:ascii="Times New Roman" w:hAnsi="Times New Roman" w:cs="Times New Roman"/>
          <w:sz w:val="24"/>
          <w:szCs w:val="24"/>
        </w:rPr>
        <w:t>onstitution gives explicit recognition to judicial independence in respect of our superior courts</w:t>
      </w:r>
      <w:r w:rsidR="00F06547">
        <w:rPr>
          <w:rStyle w:val="FootnoteReference"/>
          <w:rFonts w:ascii="Times New Roman" w:hAnsi="Times New Roman" w:cs="Times New Roman"/>
          <w:sz w:val="24"/>
          <w:szCs w:val="24"/>
        </w:rPr>
        <w:footnoteReference w:id="5"/>
      </w:r>
      <w:r w:rsidRPr="00162185">
        <w:rPr>
          <w:rFonts w:ascii="Times New Roman" w:hAnsi="Times New Roman" w:cs="Times New Roman"/>
          <w:sz w:val="24"/>
          <w:szCs w:val="24"/>
        </w:rPr>
        <w:t xml:space="preserve"> and in respect of </w:t>
      </w:r>
      <w:r w:rsidR="00D10A24" w:rsidRPr="00162185">
        <w:rPr>
          <w:rFonts w:ascii="Times New Roman" w:hAnsi="Times New Roman" w:cs="Times New Roman"/>
          <w:sz w:val="24"/>
          <w:szCs w:val="24"/>
        </w:rPr>
        <w:t xml:space="preserve">courts that try persons charged with </w:t>
      </w:r>
      <w:r w:rsidR="00D10A24" w:rsidRPr="00162185">
        <w:rPr>
          <w:rFonts w:ascii="Times New Roman" w:hAnsi="Times New Roman" w:cs="Times New Roman"/>
          <w:sz w:val="24"/>
          <w:szCs w:val="24"/>
        </w:rPr>
        <w:lastRenderedPageBreak/>
        <w:t>offences,</w:t>
      </w:r>
      <w:r w:rsidR="00F06547">
        <w:rPr>
          <w:rStyle w:val="FootnoteReference"/>
          <w:rFonts w:ascii="Times New Roman" w:hAnsi="Times New Roman" w:cs="Times New Roman"/>
          <w:sz w:val="24"/>
          <w:szCs w:val="24"/>
        </w:rPr>
        <w:footnoteReference w:id="6"/>
      </w:r>
      <w:r w:rsidR="00D10A24" w:rsidRPr="00162185">
        <w:rPr>
          <w:rFonts w:ascii="Times New Roman" w:hAnsi="Times New Roman" w:cs="Times New Roman"/>
          <w:sz w:val="24"/>
          <w:szCs w:val="24"/>
        </w:rPr>
        <w:t xml:space="preserve"> but it does not contain any explicit reference to a general principle of judicial independence that applies to all courts. More specifically, there is no explicit textual reference to the independence of provincial courts that exercise only civil jurisdiction. </w:t>
      </w:r>
    </w:p>
    <w:p w:rsidR="003C4A72" w:rsidRPr="00162185" w:rsidRDefault="00D10A24"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The Supreme Court of Canada’</w:t>
      </w:r>
      <w:r w:rsidR="00E6146E" w:rsidRPr="00162185">
        <w:rPr>
          <w:rFonts w:ascii="Times New Roman" w:hAnsi="Times New Roman" w:cs="Times New Roman"/>
          <w:sz w:val="24"/>
          <w:szCs w:val="24"/>
        </w:rPr>
        <w:t xml:space="preserve">s 1997 decision in </w:t>
      </w:r>
      <w:r w:rsidR="00F06547" w:rsidRPr="00D703CB">
        <w:rPr>
          <w:rFonts w:ascii="Times New Roman" w:hAnsi="Times New Roman" w:cs="Times New Roman"/>
          <w:i/>
          <w:sz w:val="24"/>
          <w:szCs w:val="24"/>
        </w:rPr>
        <w:t>Reference</w:t>
      </w:r>
      <w:r w:rsidR="00F06547" w:rsidRPr="00162185">
        <w:rPr>
          <w:rFonts w:ascii="Times New Roman" w:hAnsi="Times New Roman" w:cs="Times New Roman"/>
          <w:sz w:val="24"/>
          <w:szCs w:val="24"/>
        </w:rPr>
        <w:t xml:space="preserve"> </w:t>
      </w:r>
      <w:r w:rsidR="00F06547">
        <w:rPr>
          <w:rFonts w:ascii="Times New Roman" w:hAnsi="Times New Roman" w:cs="Times New Roman"/>
          <w:i/>
          <w:sz w:val="24"/>
          <w:szCs w:val="24"/>
        </w:rPr>
        <w:t xml:space="preserve">re Remuneration of Judges of the </w:t>
      </w:r>
      <w:r w:rsidR="00E6146E" w:rsidRPr="00D703CB">
        <w:rPr>
          <w:rFonts w:ascii="Times New Roman" w:hAnsi="Times New Roman" w:cs="Times New Roman"/>
          <w:i/>
          <w:sz w:val="24"/>
          <w:szCs w:val="24"/>
        </w:rPr>
        <w:t xml:space="preserve">Provincial Court </w:t>
      </w:r>
      <w:r w:rsidR="00F06547">
        <w:rPr>
          <w:rFonts w:ascii="Times New Roman" w:hAnsi="Times New Roman" w:cs="Times New Roman"/>
          <w:i/>
          <w:sz w:val="24"/>
          <w:szCs w:val="24"/>
        </w:rPr>
        <w:t xml:space="preserve">of Prince Edward Island </w:t>
      </w:r>
      <w:r w:rsidR="00041182">
        <w:rPr>
          <w:rStyle w:val="FootnoteReference"/>
          <w:rFonts w:ascii="Times New Roman" w:hAnsi="Times New Roman" w:cs="Times New Roman"/>
          <w:sz w:val="24"/>
          <w:szCs w:val="24"/>
        </w:rPr>
        <w:footnoteReference w:id="7"/>
      </w:r>
      <w:r w:rsidR="00F06547">
        <w:rPr>
          <w:rFonts w:ascii="Times New Roman" w:hAnsi="Times New Roman" w:cs="Times New Roman"/>
          <w:sz w:val="24"/>
          <w:szCs w:val="24"/>
        </w:rPr>
        <w:t xml:space="preserve"> </w:t>
      </w:r>
      <w:r w:rsidR="00ED4B38" w:rsidRPr="00162185">
        <w:rPr>
          <w:rFonts w:ascii="Times New Roman" w:hAnsi="Times New Roman" w:cs="Times New Roman"/>
          <w:sz w:val="24"/>
          <w:szCs w:val="24"/>
        </w:rPr>
        <w:t xml:space="preserve">developed an “unwritten constitutional principle of judicial independence”, a principle that </w:t>
      </w:r>
      <w:r w:rsidR="005A622D" w:rsidRPr="00162185">
        <w:rPr>
          <w:rFonts w:ascii="Times New Roman" w:hAnsi="Times New Roman" w:cs="Times New Roman"/>
          <w:sz w:val="24"/>
          <w:szCs w:val="24"/>
        </w:rPr>
        <w:t>is</w:t>
      </w:r>
      <w:r w:rsidR="00ED4B38" w:rsidRPr="00162185">
        <w:rPr>
          <w:rFonts w:ascii="Times New Roman" w:hAnsi="Times New Roman" w:cs="Times New Roman"/>
          <w:sz w:val="24"/>
          <w:szCs w:val="24"/>
        </w:rPr>
        <w:t xml:space="preserve"> legally enforceable</w:t>
      </w:r>
      <w:r w:rsidR="005A622D" w:rsidRPr="00162185">
        <w:rPr>
          <w:rFonts w:ascii="Times New Roman" w:hAnsi="Times New Roman" w:cs="Times New Roman"/>
          <w:sz w:val="24"/>
          <w:szCs w:val="24"/>
        </w:rPr>
        <w:t xml:space="preserve"> and</w:t>
      </w:r>
      <w:r w:rsidR="00ED4B38" w:rsidRPr="00162185">
        <w:rPr>
          <w:rFonts w:ascii="Times New Roman" w:hAnsi="Times New Roman" w:cs="Times New Roman"/>
          <w:sz w:val="24"/>
          <w:szCs w:val="24"/>
        </w:rPr>
        <w:t xml:space="preserve"> that applie</w:t>
      </w:r>
      <w:r w:rsidR="005A622D" w:rsidRPr="00162185">
        <w:rPr>
          <w:rFonts w:ascii="Times New Roman" w:hAnsi="Times New Roman" w:cs="Times New Roman"/>
          <w:sz w:val="24"/>
          <w:szCs w:val="24"/>
        </w:rPr>
        <w:t>s</w:t>
      </w:r>
      <w:r w:rsidR="00ED4B38" w:rsidRPr="00162185">
        <w:rPr>
          <w:rFonts w:ascii="Times New Roman" w:hAnsi="Times New Roman" w:cs="Times New Roman"/>
          <w:sz w:val="24"/>
          <w:szCs w:val="24"/>
        </w:rPr>
        <w:t xml:space="preserve"> to all courts. It was not long before parties were raising the question of whether tribunals – or at least some sub-set of them – should be considered “courts” for purposes of the unwritten constitutional principle of judicial independence. This question is particularly important with respect to security of tenure, since most limitations on security of tenure </w:t>
      </w:r>
      <w:r w:rsidR="002A7CF8" w:rsidRPr="00162185">
        <w:rPr>
          <w:rFonts w:ascii="Times New Roman" w:hAnsi="Times New Roman" w:cs="Times New Roman"/>
          <w:sz w:val="24"/>
          <w:szCs w:val="24"/>
        </w:rPr>
        <w:t xml:space="preserve">for tribunal members </w:t>
      </w:r>
      <w:r w:rsidR="00ED4B38" w:rsidRPr="00162185">
        <w:rPr>
          <w:rFonts w:ascii="Times New Roman" w:hAnsi="Times New Roman" w:cs="Times New Roman"/>
          <w:sz w:val="24"/>
          <w:szCs w:val="24"/>
        </w:rPr>
        <w:t xml:space="preserve">are embedded in legislation and </w:t>
      </w:r>
      <w:r w:rsidR="003C4A72" w:rsidRPr="00162185">
        <w:rPr>
          <w:rFonts w:ascii="Times New Roman" w:hAnsi="Times New Roman" w:cs="Times New Roman"/>
          <w:sz w:val="24"/>
          <w:szCs w:val="24"/>
        </w:rPr>
        <w:t xml:space="preserve">only constitutional arguments can protect members whose appointments have been terminated without cause in reliance on this </w:t>
      </w:r>
      <w:r w:rsidR="002A7CF8" w:rsidRPr="00162185">
        <w:rPr>
          <w:rFonts w:ascii="Times New Roman" w:hAnsi="Times New Roman" w:cs="Times New Roman"/>
          <w:sz w:val="24"/>
          <w:szCs w:val="24"/>
        </w:rPr>
        <w:t xml:space="preserve">type of </w:t>
      </w:r>
      <w:r w:rsidR="003C4A72" w:rsidRPr="00162185">
        <w:rPr>
          <w:rFonts w:ascii="Times New Roman" w:hAnsi="Times New Roman" w:cs="Times New Roman"/>
          <w:sz w:val="24"/>
          <w:szCs w:val="24"/>
        </w:rPr>
        <w:t>statutory authority.</w:t>
      </w:r>
    </w:p>
    <w:p w:rsidR="00640AAC" w:rsidRPr="00162185" w:rsidRDefault="00091A0B"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While there have been occasional </w:t>
      </w:r>
      <w:r w:rsidR="005A622D" w:rsidRPr="00162185">
        <w:rPr>
          <w:rFonts w:ascii="Times New Roman" w:hAnsi="Times New Roman" w:cs="Times New Roman"/>
          <w:sz w:val="24"/>
          <w:szCs w:val="24"/>
        </w:rPr>
        <w:t xml:space="preserve">suggestions in the case law that some tribunals could </w:t>
      </w:r>
      <w:r w:rsidR="002A7CF8" w:rsidRPr="00162185">
        <w:rPr>
          <w:rFonts w:ascii="Times New Roman" w:hAnsi="Times New Roman" w:cs="Times New Roman"/>
          <w:sz w:val="24"/>
          <w:szCs w:val="24"/>
        </w:rPr>
        <w:t xml:space="preserve">shelter </w:t>
      </w:r>
      <w:r w:rsidR="005A622D" w:rsidRPr="00162185">
        <w:rPr>
          <w:rFonts w:ascii="Times New Roman" w:hAnsi="Times New Roman" w:cs="Times New Roman"/>
          <w:sz w:val="24"/>
          <w:szCs w:val="24"/>
        </w:rPr>
        <w:t>under the umbrella of the constitution’s protection of judicial independence</w:t>
      </w:r>
      <w:r w:rsidRPr="00162185">
        <w:rPr>
          <w:rFonts w:ascii="Times New Roman" w:hAnsi="Times New Roman" w:cs="Times New Roman"/>
          <w:sz w:val="24"/>
          <w:szCs w:val="24"/>
        </w:rPr>
        <w:t>,</w:t>
      </w:r>
      <w:r w:rsidR="00F06547">
        <w:rPr>
          <w:rStyle w:val="FootnoteReference"/>
          <w:rFonts w:ascii="Times New Roman" w:hAnsi="Times New Roman" w:cs="Times New Roman"/>
          <w:sz w:val="24"/>
          <w:szCs w:val="24"/>
        </w:rPr>
        <w:footnoteReference w:id="8"/>
      </w:r>
      <w:r w:rsidRPr="00162185">
        <w:rPr>
          <w:rFonts w:ascii="Times New Roman" w:hAnsi="Times New Roman" w:cs="Times New Roman"/>
          <w:sz w:val="24"/>
          <w:szCs w:val="24"/>
        </w:rPr>
        <w:t xml:space="preserve"> I think it is fair to say that the overall tendency of the jurisprudence is strongly against extension of the unwritten constitutional principle of judicial independence to any tribunals.</w:t>
      </w:r>
      <w:r w:rsidR="00E10D96">
        <w:rPr>
          <w:rStyle w:val="FootnoteReference"/>
          <w:rFonts w:ascii="Times New Roman" w:hAnsi="Times New Roman" w:cs="Times New Roman"/>
          <w:sz w:val="24"/>
          <w:szCs w:val="24"/>
        </w:rPr>
        <w:footnoteReference w:id="9"/>
      </w:r>
      <w:r w:rsidRPr="00162185">
        <w:rPr>
          <w:rFonts w:ascii="Times New Roman" w:hAnsi="Times New Roman" w:cs="Times New Roman"/>
          <w:sz w:val="24"/>
          <w:szCs w:val="24"/>
        </w:rPr>
        <w:t xml:space="preserve"> </w:t>
      </w:r>
      <w:r w:rsidR="002A7CF8" w:rsidRPr="00162185">
        <w:rPr>
          <w:rFonts w:ascii="Times New Roman" w:hAnsi="Times New Roman" w:cs="Times New Roman"/>
          <w:sz w:val="24"/>
          <w:szCs w:val="24"/>
        </w:rPr>
        <w:t>The r</w:t>
      </w:r>
      <w:r w:rsidRPr="00162185">
        <w:rPr>
          <w:rFonts w:ascii="Times New Roman" w:hAnsi="Times New Roman" w:cs="Times New Roman"/>
          <w:sz w:val="24"/>
          <w:szCs w:val="24"/>
        </w:rPr>
        <w:t>easons for this</w:t>
      </w:r>
      <w:r w:rsidR="00DB2CF4">
        <w:rPr>
          <w:rFonts w:ascii="Times New Roman" w:hAnsi="Times New Roman" w:cs="Times New Roman"/>
          <w:sz w:val="24"/>
          <w:szCs w:val="24"/>
        </w:rPr>
        <w:t>, in my view,</w:t>
      </w:r>
      <w:r w:rsidRPr="00162185">
        <w:rPr>
          <w:rFonts w:ascii="Times New Roman" w:hAnsi="Times New Roman" w:cs="Times New Roman"/>
          <w:sz w:val="24"/>
          <w:szCs w:val="24"/>
        </w:rPr>
        <w:t xml:space="preserve"> </w:t>
      </w:r>
      <w:r w:rsidR="00640AAC" w:rsidRPr="00162185">
        <w:rPr>
          <w:rFonts w:ascii="Times New Roman" w:hAnsi="Times New Roman" w:cs="Times New Roman"/>
          <w:sz w:val="24"/>
          <w:szCs w:val="24"/>
        </w:rPr>
        <w:t>come down to two key points</w:t>
      </w:r>
      <w:r w:rsidR="00E10D96">
        <w:rPr>
          <w:rFonts w:ascii="Times New Roman" w:hAnsi="Times New Roman" w:cs="Times New Roman"/>
          <w:sz w:val="24"/>
          <w:szCs w:val="24"/>
        </w:rPr>
        <w:t>. O</w:t>
      </w:r>
      <w:r w:rsidR="00640AAC" w:rsidRPr="00162185">
        <w:rPr>
          <w:rFonts w:ascii="Times New Roman" w:hAnsi="Times New Roman" w:cs="Times New Roman"/>
          <w:sz w:val="24"/>
          <w:szCs w:val="24"/>
        </w:rPr>
        <w:t xml:space="preserve">ne </w:t>
      </w:r>
      <w:proofErr w:type="gramStart"/>
      <w:r w:rsidR="002A7CF8" w:rsidRPr="00162185">
        <w:rPr>
          <w:rFonts w:ascii="Times New Roman" w:hAnsi="Times New Roman" w:cs="Times New Roman"/>
          <w:sz w:val="24"/>
          <w:szCs w:val="24"/>
        </w:rPr>
        <w:t>flows</w:t>
      </w:r>
      <w:proofErr w:type="gramEnd"/>
      <w:r w:rsidR="002A7CF8" w:rsidRPr="00162185">
        <w:rPr>
          <w:rFonts w:ascii="Times New Roman" w:hAnsi="Times New Roman" w:cs="Times New Roman"/>
          <w:sz w:val="24"/>
          <w:szCs w:val="24"/>
        </w:rPr>
        <w:t xml:space="preserve"> from</w:t>
      </w:r>
      <w:r w:rsidR="00640AAC" w:rsidRPr="00162185">
        <w:rPr>
          <w:rFonts w:ascii="Times New Roman" w:hAnsi="Times New Roman" w:cs="Times New Roman"/>
          <w:sz w:val="24"/>
          <w:szCs w:val="24"/>
        </w:rPr>
        <w:t xml:space="preserve"> our historical approach to the place of tribunals within our concept of separation of powers and the other </w:t>
      </w:r>
      <w:r w:rsidR="002A7CF8" w:rsidRPr="00162185">
        <w:rPr>
          <w:rFonts w:ascii="Times New Roman" w:hAnsi="Times New Roman" w:cs="Times New Roman"/>
          <w:sz w:val="24"/>
          <w:szCs w:val="24"/>
        </w:rPr>
        <w:t>relates t</w:t>
      </w:r>
      <w:r w:rsidR="00640AAC" w:rsidRPr="00162185">
        <w:rPr>
          <w:rFonts w:ascii="Times New Roman" w:hAnsi="Times New Roman" w:cs="Times New Roman"/>
          <w:sz w:val="24"/>
          <w:szCs w:val="24"/>
        </w:rPr>
        <w:t xml:space="preserve">o </w:t>
      </w:r>
      <w:r w:rsidR="002A7CF8" w:rsidRPr="00162185">
        <w:rPr>
          <w:rFonts w:ascii="Times New Roman" w:hAnsi="Times New Roman" w:cs="Times New Roman"/>
          <w:sz w:val="24"/>
          <w:szCs w:val="24"/>
        </w:rPr>
        <w:t xml:space="preserve">the limits on the </w:t>
      </w:r>
      <w:r w:rsidR="00640AAC" w:rsidRPr="00162185">
        <w:rPr>
          <w:rFonts w:ascii="Times New Roman" w:hAnsi="Times New Roman" w:cs="Times New Roman"/>
          <w:sz w:val="24"/>
          <w:szCs w:val="24"/>
        </w:rPr>
        <w:t xml:space="preserve">appropriate role of courts in </w:t>
      </w:r>
      <w:r w:rsidR="002A7CF8" w:rsidRPr="00162185">
        <w:rPr>
          <w:rFonts w:ascii="Times New Roman" w:hAnsi="Times New Roman" w:cs="Times New Roman"/>
          <w:sz w:val="24"/>
          <w:szCs w:val="24"/>
        </w:rPr>
        <w:t>using</w:t>
      </w:r>
      <w:r w:rsidR="00640AAC" w:rsidRPr="00162185">
        <w:rPr>
          <w:rFonts w:ascii="Times New Roman" w:hAnsi="Times New Roman" w:cs="Times New Roman"/>
          <w:sz w:val="24"/>
          <w:szCs w:val="24"/>
        </w:rPr>
        <w:t xml:space="preserve"> the constitution to </w:t>
      </w:r>
      <w:r w:rsidR="002A7CF8" w:rsidRPr="00162185">
        <w:rPr>
          <w:rFonts w:ascii="Times New Roman" w:hAnsi="Times New Roman" w:cs="Times New Roman"/>
          <w:sz w:val="24"/>
          <w:szCs w:val="24"/>
        </w:rPr>
        <w:t>modify</w:t>
      </w:r>
      <w:r w:rsidR="00640AAC" w:rsidRPr="00162185">
        <w:rPr>
          <w:rFonts w:ascii="Times New Roman" w:hAnsi="Times New Roman" w:cs="Times New Roman"/>
          <w:sz w:val="24"/>
          <w:szCs w:val="24"/>
        </w:rPr>
        <w:t xml:space="preserve"> the institutional structure of government. </w:t>
      </w:r>
    </w:p>
    <w:p w:rsidR="004F28FC" w:rsidRPr="00162185" w:rsidRDefault="00640AAC"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We have a relatively weak concept of the constitutional </w:t>
      </w:r>
      <w:r w:rsidR="002A7CF8" w:rsidRPr="00162185">
        <w:rPr>
          <w:rFonts w:ascii="Times New Roman" w:hAnsi="Times New Roman" w:cs="Times New Roman"/>
          <w:sz w:val="24"/>
          <w:szCs w:val="24"/>
        </w:rPr>
        <w:t xml:space="preserve">separation of </w:t>
      </w:r>
      <w:r w:rsidRPr="00162185">
        <w:rPr>
          <w:rFonts w:ascii="Times New Roman" w:hAnsi="Times New Roman" w:cs="Times New Roman"/>
          <w:sz w:val="24"/>
          <w:szCs w:val="24"/>
        </w:rPr>
        <w:t xml:space="preserve">powers and a correspondingly </w:t>
      </w:r>
      <w:r w:rsidR="002A7CF8" w:rsidRPr="00162185">
        <w:rPr>
          <w:rFonts w:ascii="Times New Roman" w:hAnsi="Times New Roman" w:cs="Times New Roman"/>
          <w:sz w:val="24"/>
          <w:szCs w:val="24"/>
        </w:rPr>
        <w:t>limited</w:t>
      </w:r>
      <w:r w:rsidRPr="00162185">
        <w:rPr>
          <w:rFonts w:ascii="Times New Roman" w:hAnsi="Times New Roman" w:cs="Times New Roman"/>
          <w:sz w:val="24"/>
          <w:szCs w:val="24"/>
        </w:rPr>
        <w:t xml:space="preserve"> sense of the types of decisions that can be made only by courts. </w:t>
      </w:r>
      <w:r w:rsidR="004F28FC" w:rsidRPr="00162185">
        <w:rPr>
          <w:rFonts w:ascii="Times New Roman" w:hAnsi="Times New Roman" w:cs="Times New Roman"/>
          <w:sz w:val="24"/>
          <w:szCs w:val="24"/>
        </w:rPr>
        <w:t xml:space="preserve">Within this concept, however, we have historically assigned tribunals to the executive rather than the judicial branch of government, even if the only powers the tribunal exercises are adjudicative. </w:t>
      </w:r>
      <w:r w:rsidR="00755708" w:rsidRPr="00162185">
        <w:rPr>
          <w:rFonts w:ascii="Times New Roman" w:hAnsi="Times New Roman" w:cs="Times New Roman"/>
          <w:sz w:val="24"/>
          <w:szCs w:val="24"/>
        </w:rPr>
        <w:t xml:space="preserve">As long as the adjudication done by a tribunal or other executive entity is </w:t>
      </w:r>
      <w:r w:rsidR="00755708" w:rsidRPr="00162185">
        <w:rPr>
          <w:rFonts w:ascii="Times New Roman" w:hAnsi="Times New Roman" w:cs="Times New Roman"/>
          <w:sz w:val="24"/>
          <w:szCs w:val="24"/>
        </w:rPr>
        <w:lastRenderedPageBreak/>
        <w:t>subject to judicial review</w:t>
      </w:r>
      <w:r w:rsidR="00E10D96">
        <w:rPr>
          <w:rFonts w:ascii="Times New Roman" w:hAnsi="Times New Roman" w:cs="Times New Roman"/>
          <w:sz w:val="24"/>
          <w:szCs w:val="24"/>
        </w:rPr>
        <w:t xml:space="preserve"> </w:t>
      </w:r>
      <w:r w:rsidR="00E10D96">
        <w:rPr>
          <w:rStyle w:val="FootnoteReference"/>
          <w:rFonts w:ascii="Times New Roman" w:hAnsi="Times New Roman" w:cs="Times New Roman"/>
          <w:sz w:val="24"/>
          <w:szCs w:val="24"/>
        </w:rPr>
        <w:footnoteReference w:id="10"/>
      </w:r>
      <w:r w:rsidR="00755708" w:rsidRPr="00162185">
        <w:rPr>
          <w:rFonts w:ascii="Times New Roman" w:hAnsi="Times New Roman" w:cs="Times New Roman"/>
          <w:sz w:val="24"/>
          <w:szCs w:val="24"/>
        </w:rPr>
        <w:t xml:space="preserve"> and the legislature does not attempt to take away the core jurisdiction of superior courts and assign it to a tribunal,</w:t>
      </w:r>
      <w:r w:rsidR="00E10D96">
        <w:rPr>
          <w:rFonts w:ascii="Times New Roman" w:hAnsi="Times New Roman" w:cs="Times New Roman"/>
          <w:sz w:val="24"/>
          <w:szCs w:val="24"/>
        </w:rPr>
        <w:t xml:space="preserve"> </w:t>
      </w:r>
      <w:r w:rsidR="00E10D96">
        <w:rPr>
          <w:rStyle w:val="FootnoteReference"/>
          <w:rFonts w:ascii="Times New Roman" w:hAnsi="Times New Roman" w:cs="Times New Roman"/>
          <w:sz w:val="24"/>
          <w:szCs w:val="24"/>
        </w:rPr>
        <w:footnoteReference w:id="11"/>
      </w:r>
      <w:r w:rsidR="00755708" w:rsidRPr="00162185">
        <w:rPr>
          <w:rFonts w:ascii="Times New Roman" w:hAnsi="Times New Roman" w:cs="Times New Roman"/>
          <w:sz w:val="24"/>
          <w:szCs w:val="24"/>
        </w:rPr>
        <w:t xml:space="preserve"> the fact that a tribunal carries out adjudicative functions, even ones that might otherwise have been exercised by a court, does not offend our limited conception of the separation of powers. </w:t>
      </w:r>
      <w:r w:rsidR="004F28FC" w:rsidRPr="00162185">
        <w:rPr>
          <w:rFonts w:ascii="Times New Roman" w:hAnsi="Times New Roman" w:cs="Times New Roman"/>
          <w:sz w:val="24"/>
          <w:szCs w:val="24"/>
        </w:rPr>
        <w:t xml:space="preserve">While I think that compelling arguments can be made that the type of adjudication done by many tribunals is indistinguishable from adjudication done by courts, Canadian courts </w:t>
      </w:r>
      <w:r w:rsidR="00755708" w:rsidRPr="00162185">
        <w:rPr>
          <w:rFonts w:ascii="Times New Roman" w:hAnsi="Times New Roman" w:cs="Times New Roman"/>
          <w:sz w:val="24"/>
          <w:szCs w:val="24"/>
        </w:rPr>
        <w:t xml:space="preserve">remain reluctant to change their view that for constitutional purposes tribunals are part of the </w:t>
      </w:r>
      <w:r w:rsidR="004F28FC" w:rsidRPr="00162185">
        <w:rPr>
          <w:rFonts w:ascii="Times New Roman" w:hAnsi="Times New Roman" w:cs="Times New Roman"/>
          <w:sz w:val="24"/>
          <w:szCs w:val="24"/>
        </w:rPr>
        <w:t xml:space="preserve">executive branch of government </w:t>
      </w:r>
      <w:r w:rsidR="00755708" w:rsidRPr="00162185">
        <w:rPr>
          <w:rFonts w:ascii="Times New Roman" w:hAnsi="Times New Roman" w:cs="Times New Roman"/>
          <w:sz w:val="24"/>
          <w:szCs w:val="24"/>
        </w:rPr>
        <w:t>rather than the judicial branch, and therefore are not entitled to the constitutional protection of judicial independence.</w:t>
      </w:r>
      <w:r w:rsidR="004F28FC" w:rsidRPr="00162185">
        <w:rPr>
          <w:rFonts w:ascii="Times New Roman" w:hAnsi="Times New Roman" w:cs="Times New Roman"/>
          <w:sz w:val="24"/>
          <w:szCs w:val="24"/>
        </w:rPr>
        <w:t xml:space="preserve"> </w:t>
      </w:r>
    </w:p>
    <w:p w:rsidR="00755708" w:rsidRPr="00162185" w:rsidRDefault="00755708"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In addition</w:t>
      </w:r>
      <w:r w:rsidR="004F28FC" w:rsidRPr="00162185">
        <w:rPr>
          <w:rFonts w:ascii="Times New Roman" w:hAnsi="Times New Roman" w:cs="Times New Roman"/>
          <w:sz w:val="24"/>
          <w:szCs w:val="24"/>
        </w:rPr>
        <w:t xml:space="preserve">, I think that Canadian courts are rightly concerned about the appropriateness of using an unwritten constitutional principle to alter the institutional structure of tribunals, especially around issues as fundamental as security of tenure. When the Supreme Court of Canada extended the constitutional protection of judicial independence to provincial courts exercising civil jurisdiction, it did so in the knowledge that </w:t>
      </w:r>
      <w:r w:rsidR="00135511" w:rsidRPr="00162185">
        <w:rPr>
          <w:rFonts w:ascii="Times New Roman" w:hAnsi="Times New Roman" w:cs="Times New Roman"/>
          <w:sz w:val="24"/>
          <w:szCs w:val="24"/>
        </w:rPr>
        <w:t>the statutory arrangements governing the institutional structure of these courts – working lifetime tenure, a rigorous appointment process requiring consultation with the legal profession and the judiciary, a requirement that individuals have a number of years of experience as lawyers before being appointed – in significant measure mirrored the arrangements governing superior courts</w:t>
      </w:r>
      <w:r w:rsidRPr="00162185">
        <w:rPr>
          <w:rFonts w:ascii="Times New Roman" w:hAnsi="Times New Roman" w:cs="Times New Roman"/>
          <w:sz w:val="24"/>
          <w:szCs w:val="24"/>
        </w:rPr>
        <w:t>. Moreover</w:t>
      </w:r>
      <w:r w:rsidR="00135511" w:rsidRPr="00162185">
        <w:rPr>
          <w:rFonts w:ascii="Times New Roman" w:hAnsi="Times New Roman" w:cs="Times New Roman"/>
          <w:sz w:val="24"/>
          <w:szCs w:val="24"/>
        </w:rPr>
        <w:t xml:space="preserve"> these arrangements were fundamentally similar across the country. I would be the last person to suggest that giving </w:t>
      </w:r>
      <w:r w:rsidRPr="00162185">
        <w:rPr>
          <w:rFonts w:ascii="Times New Roman" w:hAnsi="Times New Roman" w:cs="Times New Roman"/>
          <w:sz w:val="24"/>
          <w:szCs w:val="24"/>
        </w:rPr>
        <w:t>aspects</w:t>
      </w:r>
      <w:r w:rsidR="00135511" w:rsidRPr="00162185">
        <w:rPr>
          <w:rFonts w:ascii="Times New Roman" w:hAnsi="Times New Roman" w:cs="Times New Roman"/>
          <w:sz w:val="24"/>
          <w:szCs w:val="24"/>
        </w:rPr>
        <w:t xml:space="preserve"> of those arrangements constitutional force </w:t>
      </w:r>
      <w:r w:rsidRPr="00162185">
        <w:rPr>
          <w:rFonts w:ascii="Times New Roman" w:hAnsi="Times New Roman" w:cs="Times New Roman"/>
          <w:sz w:val="24"/>
          <w:szCs w:val="24"/>
        </w:rPr>
        <w:t xml:space="preserve">in respect of all courts </w:t>
      </w:r>
      <w:r w:rsidR="00135511" w:rsidRPr="00162185">
        <w:rPr>
          <w:rFonts w:ascii="Times New Roman" w:hAnsi="Times New Roman" w:cs="Times New Roman"/>
          <w:sz w:val="24"/>
          <w:szCs w:val="24"/>
        </w:rPr>
        <w:t xml:space="preserve">was of no </w:t>
      </w:r>
      <w:r w:rsidRPr="00162185">
        <w:rPr>
          <w:rFonts w:ascii="Times New Roman" w:hAnsi="Times New Roman" w:cs="Times New Roman"/>
          <w:sz w:val="24"/>
          <w:szCs w:val="24"/>
        </w:rPr>
        <w:t xml:space="preserve">practical </w:t>
      </w:r>
      <w:r w:rsidR="00135511" w:rsidRPr="00162185">
        <w:rPr>
          <w:rFonts w:ascii="Times New Roman" w:hAnsi="Times New Roman" w:cs="Times New Roman"/>
          <w:sz w:val="24"/>
          <w:szCs w:val="24"/>
        </w:rPr>
        <w:t xml:space="preserve">significance, but I would argue that it was a relatively small and justifiable step. </w:t>
      </w:r>
    </w:p>
    <w:p w:rsidR="009E64F8" w:rsidRPr="00B74E57" w:rsidRDefault="00135511" w:rsidP="00162185">
      <w:pPr>
        <w:spacing w:line="360" w:lineRule="auto"/>
        <w:jc w:val="both"/>
        <w:rPr>
          <w:rFonts w:ascii="Times New Roman" w:hAnsi="Times New Roman" w:cs="Times New Roman"/>
          <w:b/>
          <w:sz w:val="24"/>
          <w:szCs w:val="24"/>
        </w:rPr>
      </w:pPr>
      <w:r w:rsidRPr="00162185">
        <w:rPr>
          <w:rFonts w:ascii="Times New Roman" w:hAnsi="Times New Roman" w:cs="Times New Roman"/>
          <w:sz w:val="24"/>
          <w:szCs w:val="24"/>
        </w:rPr>
        <w:t>Our institutional arrangements for tribunals vary widely from jurisdiction to jurisdiction</w:t>
      </w:r>
      <w:r w:rsidR="00755708" w:rsidRPr="00162185">
        <w:rPr>
          <w:rFonts w:ascii="Times New Roman" w:hAnsi="Times New Roman" w:cs="Times New Roman"/>
          <w:sz w:val="24"/>
          <w:szCs w:val="24"/>
        </w:rPr>
        <w:t xml:space="preserve">. Most </w:t>
      </w:r>
      <w:r w:rsidRPr="00162185">
        <w:rPr>
          <w:rFonts w:ascii="Times New Roman" w:hAnsi="Times New Roman" w:cs="Times New Roman"/>
          <w:sz w:val="24"/>
          <w:szCs w:val="24"/>
        </w:rPr>
        <w:t xml:space="preserve">of the smaller provinces rely almost exclusively on tribunals staffed by part-time adjudicators </w:t>
      </w:r>
      <w:r w:rsidR="008C4A59" w:rsidRPr="00162185">
        <w:rPr>
          <w:rFonts w:ascii="Times New Roman" w:hAnsi="Times New Roman" w:cs="Times New Roman"/>
          <w:sz w:val="24"/>
          <w:szCs w:val="24"/>
        </w:rPr>
        <w:t xml:space="preserve">who perform their duties largely as a form of </w:t>
      </w:r>
      <w:r w:rsidR="00761484" w:rsidRPr="00162185">
        <w:rPr>
          <w:rFonts w:ascii="Times New Roman" w:hAnsi="Times New Roman" w:cs="Times New Roman"/>
          <w:sz w:val="24"/>
          <w:szCs w:val="24"/>
        </w:rPr>
        <w:t>community</w:t>
      </w:r>
      <w:r w:rsidR="008C4A59" w:rsidRPr="00162185">
        <w:rPr>
          <w:rFonts w:ascii="Times New Roman" w:hAnsi="Times New Roman" w:cs="Times New Roman"/>
          <w:sz w:val="24"/>
          <w:szCs w:val="24"/>
        </w:rPr>
        <w:t xml:space="preserve"> service</w:t>
      </w:r>
      <w:r w:rsidR="00755708" w:rsidRPr="00162185">
        <w:rPr>
          <w:rFonts w:ascii="Times New Roman" w:hAnsi="Times New Roman" w:cs="Times New Roman"/>
          <w:sz w:val="24"/>
          <w:szCs w:val="24"/>
        </w:rPr>
        <w:t>. The larger provinces and the federal administration rely</w:t>
      </w:r>
      <w:r w:rsidR="008C4A59" w:rsidRPr="00162185">
        <w:rPr>
          <w:rFonts w:ascii="Times New Roman" w:hAnsi="Times New Roman" w:cs="Times New Roman"/>
          <w:sz w:val="24"/>
          <w:szCs w:val="24"/>
        </w:rPr>
        <w:t xml:space="preserve"> increasingly on full-time career adjudicators serving on renewable term appoint</w:t>
      </w:r>
      <w:r w:rsidR="00755708" w:rsidRPr="00162185">
        <w:rPr>
          <w:rFonts w:ascii="Times New Roman" w:hAnsi="Times New Roman" w:cs="Times New Roman"/>
          <w:sz w:val="24"/>
          <w:szCs w:val="24"/>
        </w:rPr>
        <w:t>ment</w:t>
      </w:r>
      <w:r w:rsidR="008C4A59" w:rsidRPr="00162185">
        <w:rPr>
          <w:rFonts w:ascii="Times New Roman" w:hAnsi="Times New Roman" w:cs="Times New Roman"/>
          <w:sz w:val="24"/>
          <w:szCs w:val="24"/>
        </w:rPr>
        <w:t>s</w:t>
      </w:r>
      <w:r w:rsidR="00755708" w:rsidRPr="00162185">
        <w:rPr>
          <w:rFonts w:ascii="Times New Roman" w:hAnsi="Times New Roman" w:cs="Times New Roman"/>
          <w:sz w:val="24"/>
          <w:szCs w:val="24"/>
        </w:rPr>
        <w:t xml:space="preserve">. </w:t>
      </w:r>
      <w:r w:rsidR="00A139A8" w:rsidRPr="00162185">
        <w:rPr>
          <w:rFonts w:ascii="Times New Roman" w:hAnsi="Times New Roman" w:cs="Times New Roman"/>
          <w:sz w:val="24"/>
          <w:szCs w:val="24"/>
        </w:rPr>
        <w:t>The members of a</w:t>
      </w:r>
      <w:r w:rsidR="00755708" w:rsidRPr="00162185">
        <w:rPr>
          <w:rFonts w:ascii="Times New Roman" w:hAnsi="Times New Roman" w:cs="Times New Roman"/>
          <w:sz w:val="24"/>
          <w:szCs w:val="24"/>
        </w:rPr>
        <w:t xml:space="preserve"> small handful of tribunals, mainly in the province of Quebec</w:t>
      </w:r>
      <w:r w:rsidR="00A139A8" w:rsidRPr="00162185">
        <w:rPr>
          <w:rFonts w:ascii="Times New Roman" w:hAnsi="Times New Roman" w:cs="Times New Roman"/>
          <w:sz w:val="24"/>
          <w:szCs w:val="24"/>
        </w:rPr>
        <w:t xml:space="preserve">, </w:t>
      </w:r>
      <w:r w:rsidR="008C4A59" w:rsidRPr="00162185">
        <w:rPr>
          <w:rFonts w:ascii="Times New Roman" w:hAnsi="Times New Roman" w:cs="Times New Roman"/>
          <w:sz w:val="24"/>
          <w:szCs w:val="24"/>
        </w:rPr>
        <w:t>hav</w:t>
      </w:r>
      <w:r w:rsidR="00A139A8" w:rsidRPr="00162185">
        <w:rPr>
          <w:rFonts w:ascii="Times New Roman" w:hAnsi="Times New Roman" w:cs="Times New Roman"/>
          <w:sz w:val="24"/>
          <w:szCs w:val="24"/>
        </w:rPr>
        <w:t>e</w:t>
      </w:r>
      <w:r w:rsidR="008C4A59" w:rsidRPr="00162185">
        <w:rPr>
          <w:rFonts w:ascii="Times New Roman" w:hAnsi="Times New Roman" w:cs="Times New Roman"/>
          <w:sz w:val="24"/>
          <w:szCs w:val="24"/>
        </w:rPr>
        <w:t xml:space="preserve"> working lifetime security of tenure. </w:t>
      </w:r>
      <w:r w:rsidR="003E4F39">
        <w:rPr>
          <w:rFonts w:ascii="Times New Roman" w:hAnsi="Times New Roman" w:cs="Times New Roman"/>
          <w:sz w:val="24"/>
          <w:szCs w:val="24"/>
        </w:rPr>
        <w:t>As a practical matter, s</w:t>
      </w:r>
      <w:r w:rsidR="009E64F8">
        <w:rPr>
          <w:rFonts w:ascii="Times New Roman" w:hAnsi="Times New Roman" w:cs="Times New Roman"/>
          <w:sz w:val="24"/>
          <w:szCs w:val="24"/>
        </w:rPr>
        <w:t>ignificant c</w:t>
      </w:r>
      <w:r w:rsidR="009E64F8" w:rsidRPr="00162185">
        <w:rPr>
          <w:rFonts w:ascii="Times New Roman" w:hAnsi="Times New Roman" w:cs="Times New Roman"/>
          <w:sz w:val="24"/>
          <w:szCs w:val="24"/>
        </w:rPr>
        <w:t xml:space="preserve">hange in </w:t>
      </w:r>
      <w:r w:rsidR="009E64F8">
        <w:rPr>
          <w:rFonts w:ascii="Times New Roman" w:hAnsi="Times New Roman" w:cs="Times New Roman"/>
          <w:sz w:val="24"/>
          <w:szCs w:val="24"/>
        </w:rPr>
        <w:t xml:space="preserve">these </w:t>
      </w:r>
      <w:r w:rsidR="009E64F8" w:rsidRPr="00162185">
        <w:rPr>
          <w:rFonts w:ascii="Times New Roman" w:hAnsi="Times New Roman" w:cs="Times New Roman"/>
          <w:sz w:val="24"/>
          <w:szCs w:val="24"/>
        </w:rPr>
        <w:t>institutional arrangements</w:t>
      </w:r>
      <w:r w:rsidR="009E64F8">
        <w:rPr>
          <w:rFonts w:ascii="Times New Roman" w:hAnsi="Times New Roman" w:cs="Times New Roman"/>
          <w:sz w:val="24"/>
          <w:szCs w:val="24"/>
        </w:rPr>
        <w:t xml:space="preserve"> needs the active support of governments and legislatures to put the necessary structures and resources in place for tribunals to operate </w:t>
      </w:r>
      <w:r w:rsidR="009E64F8">
        <w:rPr>
          <w:rFonts w:ascii="Times New Roman" w:hAnsi="Times New Roman" w:cs="Times New Roman"/>
          <w:sz w:val="24"/>
          <w:szCs w:val="24"/>
        </w:rPr>
        <w:lastRenderedPageBreak/>
        <w:t xml:space="preserve">successfully, and it is not obvious </w:t>
      </w:r>
      <w:r w:rsidR="003E4F39">
        <w:rPr>
          <w:rFonts w:ascii="Times New Roman" w:hAnsi="Times New Roman" w:cs="Times New Roman"/>
          <w:sz w:val="24"/>
          <w:szCs w:val="24"/>
        </w:rPr>
        <w:t xml:space="preserve">to me </w:t>
      </w:r>
      <w:r w:rsidR="009E64F8">
        <w:rPr>
          <w:rFonts w:ascii="Times New Roman" w:hAnsi="Times New Roman" w:cs="Times New Roman"/>
          <w:sz w:val="24"/>
          <w:szCs w:val="24"/>
        </w:rPr>
        <w:t xml:space="preserve">that the use of the unwritten constitutional principle of judicial independence </w:t>
      </w:r>
      <w:r w:rsidR="003E4F39">
        <w:rPr>
          <w:rFonts w:ascii="Times New Roman" w:hAnsi="Times New Roman" w:cs="Times New Roman"/>
          <w:sz w:val="24"/>
          <w:szCs w:val="24"/>
        </w:rPr>
        <w:t xml:space="preserve">to change some elements of those structures </w:t>
      </w:r>
      <w:r w:rsidR="009E64F8">
        <w:rPr>
          <w:rFonts w:ascii="Times New Roman" w:hAnsi="Times New Roman" w:cs="Times New Roman"/>
          <w:sz w:val="24"/>
          <w:szCs w:val="24"/>
        </w:rPr>
        <w:t>would</w:t>
      </w:r>
      <w:r w:rsidR="00B877DA">
        <w:rPr>
          <w:rFonts w:ascii="Times New Roman" w:hAnsi="Times New Roman" w:cs="Times New Roman"/>
          <w:sz w:val="24"/>
          <w:szCs w:val="24"/>
        </w:rPr>
        <w:t xml:space="preserve"> be an effective way of obtaining that support.</w:t>
      </w:r>
      <w:r w:rsidR="009E64F8">
        <w:rPr>
          <w:rFonts w:ascii="Times New Roman" w:hAnsi="Times New Roman" w:cs="Times New Roman"/>
          <w:sz w:val="24"/>
          <w:szCs w:val="24"/>
        </w:rPr>
        <w:t xml:space="preserve"> </w:t>
      </w:r>
    </w:p>
    <w:p w:rsidR="00723A6F" w:rsidRPr="00162185" w:rsidRDefault="003E4F39" w:rsidP="00162185">
      <w:pPr>
        <w:spacing w:line="360" w:lineRule="auto"/>
        <w:jc w:val="both"/>
        <w:rPr>
          <w:rFonts w:ascii="Times New Roman" w:hAnsi="Times New Roman" w:cs="Times New Roman"/>
          <w:sz w:val="24"/>
          <w:szCs w:val="24"/>
        </w:rPr>
      </w:pPr>
      <w:r>
        <w:rPr>
          <w:rFonts w:ascii="Times New Roman" w:hAnsi="Times New Roman" w:cs="Times New Roman"/>
          <w:sz w:val="24"/>
          <w:szCs w:val="24"/>
        </w:rPr>
        <w:t>It is worth noting that</w:t>
      </w:r>
      <w:r w:rsidR="00B877DA">
        <w:rPr>
          <w:rFonts w:ascii="Times New Roman" w:hAnsi="Times New Roman" w:cs="Times New Roman"/>
          <w:sz w:val="24"/>
          <w:szCs w:val="24"/>
        </w:rPr>
        <w:t xml:space="preserve"> Canadian judges, among others, have expressed serious concerns about the ability of our current court system to provide timely and affordable access to civil justice to ordinary individuals. </w:t>
      </w:r>
      <w:r w:rsidR="00B877DA">
        <w:rPr>
          <w:rStyle w:val="FootnoteReference"/>
          <w:rFonts w:ascii="Times New Roman" w:hAnsi="Times New Roman" w:cs="Times New Roman"/>
          <w:sz w:val="24"/>
          <w:szCs w:val="24"/>
        </w:rPr>
        <w:footnoteReference w:id="12"/>
      </w:r>
      <w:r w:rsidR="00B877DA">
        <w:rPr>
          <w:rFonts w:ascii="Times New Roman" w:hAnsi="Times New Roman" w:cs="Times New Roman"/>
          <w:sz w:val="24"/>
          <w:szCs w:val="24"/>
        </w:rPr>
        <w:t xml:space="preserve"> To the extent that tribunals are seen as more affordable and user-friendly adjudicative bodies than courts, there is some concern that imposing that the institutional characteristics of courts on tribunals will exacerbate access to justice problems.  </w:t>
      </w:r>
      <w:r w:rsidR="00AC2C73">
        <w:rPr>
          <w:rFonts w:ascii="Times New Roman" w:hAnsi="Times New Roman" w:cs="Times New Roman"/>
          <w:sz w:val="24"/>
          <w:szCs w:val="24"/>
        </w:rPr>
        <w:t>I suspect that m</w:t>
      </w:r>
      <w:r w:rsidR="008C4A59" w:rsidRPr="00162185">
        <w:rPr>
          <w:rFonts w:ascii="Times New Roman" w:hAnsi="Times New Roman" w:cs="Times New Roman"/>
          <w:sz w:val="24"/>
          <w:szCs w:val="24"/>
        </w:rPr>
        <w:t xml:space="preserve">any Canadian judges are </w:t>
      </w:r>
      <w:r w:rsidR="00B877DA">
        <w:rPr>
          <w:rFonts w:ascii="Times New Roman" w:hAnsi="Times New Roman" w:cs="Times New Roman"/>
          <w:sz w:val="24"/>
          <w:szCs w:val="24"/>
        </w:rPr>
        <w:t xml:space="preserve">intuitively </w:t>
      </w:r>
      <w:r w:rsidR="008C4A59" w:rsidRPr="00162185">
        <w:rPr>
          <w:rFonts w:ascii="Times New Roman" w:hAnsi="Times New Roman" w:cs="Times New Roman"/>
          <w:sz w:val="24"/>
          <w:szCs w:val="24"/>
        </w:rPr>
        <w:t>sympathetic to the view that it would be a good idea to enhance the independence of tribunals, especially in relation to security of tenure</w:t>
      </w:r>
      <w:r w:rsidR="00AC2C73">
        <w:rPr>
          <w:rFonts w:ascii="Times New Roman" w:hAnsi="Times New Roman" w:cs="Times New Roman"/>
          <w:sz w:val="24"/>
          <w:szCs w:val="24"/>
        </w:rPr>
        <w:t xml:space="preserve">. </w:t>
      </w:r>
      <w:r w:rsidR="003172F8">
        <w:rPr>
          <w:rFonts w:ascii="Times New Roman" w:hAnsi="Times New Roman" w:cs="Times New Roman"/>
          <w:sz w:val="24"/>
          <w:szCs w:val="24"/>
        </w:rPr>
        <w:t>Nevertheless</w:t>
      </w:r>
      <w:r w:rsidR="008C4A59" w:rsidRPr="00162185">
        <w:rPr>
          <w:rFonts w:ascii="Times New Roman" w:hAnsi="Times New Roman" w:cs="Times New Roman"/>
          <w:sz w:val="24"/>
          <w:szCs w:val="24"/>
        </w:rPr>
        <w:t xml:space="preserve">, my sense is that very few </w:t>
      </w:r>
      <w:r w:rsidR="003172F8">
        <w:rPr>
          <w:rFonts w:ascii="Times New Roman" w:hAnsi="Times New Roman" w:cs="Times New Roman"/>
          <w:sz w:val="24"/>
          <w:szCs w:val="24"/>
        </w:rPr>
        <w:t xml:space="preserve">Canadian </w:t>
      </w:r>
      <w:r w:rsidR="008C4A59" w:rsidRPr="00162185">
        <w:rPr>
          <w:rFonts w:ascii="Times New Roman" w:hAnsi="Times New Roman" w:cs="Times New Roman"/>
          <w:sz w:val="24"/>
          <w:szCs w:val="24"/>
        </w:rPr>
        <w:t xml:space="preserve">judges believe it </w:t>
      </w:r>
      <w:r w:rsidR="003172F8">
        <w:rPr>
          <w:rFonts w:ascii="Times New Roman" w:hAnsi="Times New Roman" w:cs="Times New Roman"/>
          <w:sz w:val="24"/>
          <w:szCs w:val="24"/>
        </w:rPr>
        <w:t xml:space="preserve">is appropriate </w:t>
      </w:r>
      <w:r w:rsidR="008C4A59" w:rsidRPr="00162185">
        <w:rPr>
          <w:rFonts w:ascii="Times New Roman" w:hAnsi="Times New Roman" w:cs="Times New Roman"/>
          <w:sz w:val="24"/>
          <w:szCs w:val="24"/>
        </w:rPr>
        <w:t>for them to employ the unwritten constitutional principle of judicial independence to accomplish this goal.</w:t>
      </w:r>
      <w:r w:rsidR="00B877DA">
        <w:rPr>
          <w:rFonts w:ascii="Times New Roman" w:hAnsi="Times New Roman" w:cs="Times New Roman"/>
          <w:sz w:val="24"/>
          <w:szCs w:val="24"/>
        </w:rPr>
        <w:t xml:space="preserve"> </w:t>
      </w:r>
      <w:r w:rsidR="00091A0B" w:rsidRPr="00162185">
        <w:rPr>
          <w:rFonts w:ascii="Times New Roman" w:hAnsi="Times New Roman" w:cs="Times New Roman"/>
          <w:sz w:val="24"/>
          <w:szCs w:val="24"/>
        </w:rPr>
        <w:t xml:space="preserve">While a number of </w:t>
      </w:r>
      <w:r w:rsidR="008C4A59" w:rsidRPr="00162185">
        <w:rPr>
          <w:rFonts w:ascii="Times New Roman" w:hAnsi="Times New Roman" w:cs="Times New Roman"/>
          <w:sz w:val="24"/>
          <w:szCs w:val="24"/>
        </w:rPr>
        <w:t xml:space="preserve">Canadian </w:t>
      </w:r>
      <w:r w:rsidR="00091A0B" w:rsidRPr="00162185">
        <w:rPr>
          <w:rFonts w:ascii="Times New Roman" w:hAnsi="Times New Roman" w:cs="Times New Roman"/>
          <w:sz w:val="24"/>
          <w:szCs w:val="24"/>
        </w:rPr>
        <w:t xml:space="preserve">commentators have expressed disappointment with this </w:t>
      </w:r>
      <w:r w:rsidR="00B74E57">
        <w:rPr>
          <w:rFonts w:ascii="Times New Roman" w:hAnsi="Times New Roman" w:cs="Times New Roman"/>
          <w:sz w:val="24"/>
          <w:szCs w:val="24"/>
        </w:rPr>
        <w:t>state of affairs</w:t>
      </w:r>
      <w:r w:rsidR="00091A0B" w:rsidRPr="00162185">
        <w:rPr>
          <w:rFonts w:ascii="Times New Roman" w:hAnsi="Times New Roman" w:cs="Times New Roman"/>
          <w:sz w:val="24"/>
          <w:szCs w:val="24"/>
        </w:rPr>
        <w:t xml:space="preserve">, I think most of us are reconciled to the view that we should look at building approaches to tribunal independence that will </w:t>
      </w:r>
      <w:r w:rsidR="008C4A59" w:rsidRPr="00162185">
        <w:rPr>
          <w:rFonts w:ascii="Times New Roman" w:hAnsi="Times New Roman" w:cs="Times New Roman"/>
          <w:sz w:val="24"/>
          <w:szCs w:val="24"/>
        </w:rPr>
        <w:t xml:space="preserve">persuade governments </w:t>
      </w:r>
      <w:r w:rsidR="00A139A8" w:rsidRPr="00162185">
        <w:rPr>
          <w:rFonts w:ascii="Times New Roman" w:hAnsi="Times New Roman" w:cs="Times New Roman"/>
          <w:sz w:val="24"/>
          <w:szCs w:val="24"/>
        </w:rPr>
        <w:t xml:space="preserve">and legislatures </w:t>
      </w:r>
      <w:r w:rsidR="008C4A59" w:rsidRPr="00162185">
        <w:rPr>
          <w:rFonts w:ascii="Times New Roman" w:hAnsi="Times New Roman" w:cs="Times New Roman"/>
          <w:sz w:val="24"/>
          <w:szCs w:val="24"/>
        </w:rPr>
        <w:t xml:space="preserve">to </w:t>
      </w:r>
      <w:r w:rsidR="00091A0B" w:rsidRPr="00162185">
        <w:rPr>
          <w:rFonts w:ascii="Times New Roman" w:hAnsi="Times New Roman" w:cs="Times New Roman"/>
          <w:sz w:val="24"/>
          <w:szCs w:val="24"/>
        </w:rPr>
        <w:t>address th</w:t>
      </w:r>
      <w:r w:rsidR="00723A6F" w:rsidRPr="00162185">
        <w:rPr>
          <w:rFonts w:ascii="Times New Roman" w:hAnsi="Times New Roman" w:cs="Times New Roman"/>
          <w:sz w:val="24"/>
          <w:szCs w:val="24"/>
        </w:rPr>
        <w:t>e</w:t>
      </w:r>
      <w:r w:rsidR="00091A0B" w:rsidRPr="00162185">
        <w:rPr>
          <w:rFonts w:ascii="Times New Roman" w:hAnsi="Times New Roman" w:cs="Times New Roman"/>
          <w:sz w:val="24"/>
          <w:szCs w:val="24"/>
        </w:rPr>
        <w:t xml:space="preserve"> </w:t>
      </w:r>
      <w:r w:rsidR="00723A6F" w:rsidRPr="00162185">
        <w:rPr>
          <w:rFonts w:ascii="Times New Roman" w:hAnsi="Times New Roman" w:cs="Times New Roman"/>
          <w:sz w:val="24"/>
          <w:szCs w:val="24"/>
        </w:rPr>
        <w:t xml:space="preserve">challenges facing </w:t>
      </w:r>
      <w:r w:rsidR="00091A0B" w:rsidRPr="00162185">
        <w:rPr>
          <w:rFonts w:ascii="Times New Roman" w:hAnsi="Times New Roman" w:cs="Times New Roman"/>
          <w:sz w:val="24"/>
          <w:szCs w:val="24"/>
        </w:rPr>
        <w:t>Canadian tribunals rather than try</w:t>
      </w:r>
      <w:r w:rsidR="00723A6F" w:rsidRPr="00162185">
        <w:rPr>
          <w:rFonts w:ascii="Times New Roman" w:hAnsi="Times New Roman" w:cs="Times New Roman"/>
          <w:sz w:val="24"/>
          <w:szCs w:val="24"/>
        </w:rPr>
        <w:t xml:space="preserve">ing to </w:t>
      </w:r>
      <w:r w:rsidR="008C4A59" w:rsidRPr="00162185">
        <w:rPr>
          <w:rFonts w:ascii="Times New Roman" w:hAnsi="Times New Roman" w:cs="Times New Roman"/>
          <w:sz w:val="24"/>
          <w:szCs w:val="24"/>
        </w:rPr>
        <w:t xml:space="preserve">persuade courts to use the unwritten constitutional principle of judicial independence to </w:t>
      </w:r>
      <w:r w:rsidR="00723A6F" w:rsidRPr="00162185">
        <w:rPr>
          <w:rFonts w:ascii="Times New Roman" w:hAnsi="Times New Roman" w:cs="Times New Roman"/>
          <w:sz w:val="24"/>
          <w:szCs w:val="24"/>
        </w:rPr>
        <w:t xml:space="preserve">bring tribunals into the judicial fold. </w:t>
      </w:r>
    </w:p>
    <w:p w:rsidR="00A139A8" w:rsidRPr="00162185" w:rsidRDefault="00723A6F"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COAT Report also avoids trying to merge tribunal independence with judicial independence and instead </w:t>
      </w:r>
      <w:r w:rsidR="003031D4" w:rsidRPr="00162185">
        <w:rPr>
          <w:rFonts w:ascii="Times New Roman" w:hAnsi="Times New Roman" w:cs="Times New Roman"/>
          <w:sz w:val="24"/>
          <w:szCs w:val="24"/>
        </w:rPr>
        <w:t xml:space="preserve">explores independence in terms of </w:t>
      </w:r>
      <w:r w:rsidRPr="00162185">
        <w:rPr>
          <w:rFonts w:ascii="Times New Roman" w:hAnsi="Times New Roman" w:cs="Times New Roman"/>
          <w:sz w:val="24"/>
          <w:szCs w:val="24"/>
        </w:rPr>
        <w:t xml:space="preserve">the institutional characteristics that contribute to tribunals being able to properly exercise their adjudicative functions. It divides these into three categories: (a) administrative </w:t>
      </w:r>
      <w:r w:rsidR="00790958" w:rsidRPr="00162185">
        <w:rPr>
          <w:rFonts w:ascii="Times New Roman" w:hAnsi="Times New Roman" w:cs="Times New Roman"/>
          <w:sz w:val="24"/>
          <w:szCs w:val="24"/>
        </w:rPr>
        <w:t xml:space="preserve">independence, or the ability </w:t>
      </w:r>
      <w:r w:rsidR="00CE4200" w:rsidRPr="00162185">
        <w:rPr>
          <w:rFonts w:ascii="Times New Roman" w:hAnsi="Times New Roman" w:cs="Times New Roman"/>
          <w:sz w:val="24"/>
          <w:szCs w:val="24"/>
        </w:rPr>
        <w:t xml:space="preserve">to </w:t>
      </w:r>
      <w:r w:rsidR="00790958" w:rsidRPr="00162185">
        <w:rPr>
          <w:rFonts w:ascii="Times New Roman" w:hAnsi="Times New Roman" w:cs="Times New Roman"/>
          <w:sz w:val="24"/>
          <w:szCs w:val="24"/>
        </w:rPr>
        <w:t>control the personnel, finances and other resources needed to carry out adjudication effectively; (b) institutional independence, or the ability to ensure that decisions about appointment, continuation in office and remuneration do not become</w:t>
      </w:r>
      <w:r w:rsidR="003031D4" w:rsidRPr="00162185">
        <w:rPr>
          <w:rFonts w:ascii="Times New Roman" w:hAnsi="Times New Roman" w:cs="Times New Roman"/>
          <w:sz w:val="24"/>
          <w:szCs w:val="24"/>
        </w:rPr>
        <w:t>, and are not perceived to be,</w:t>
      </w:r>
      <w:r w:rsidR="00790958" w:rsidRPr="00162185">
        <w:rPr>
          <w:rFonts w:ascii="Times New Roman" w:hAnsi="Times New Roman" w:cs="Times New Roman"/>
          <w:sz w:val="24"/>
          <w:szCs w:val="24"/>
        </w:rPr>
        <w:t xml:space="preserve"> vehicles for executive interference with tribunal adjudication; and (c) adjudicative independence, or the conditions that enable individual tribunal members to perform their adjudicative responsibilities without fear of improper interference. </w:t>
      </w:r>
    </w:p>
    <w:p w:rsidR="00BC7B0C" w:rsidRPr="00162185" w:rsidRDefault="00790958"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Report takes the position that legal guarantees of independence contribute significantly to the achievement of actual independence, but it recognizes that different institutional arrangements can advance independence goals. As a result, it tends to identify a continuum of </w:t>
      </w:r>
      <w:r w:rsidRPr="00162185">
        <w:rPr>
          <w:rFonts w:ascii="Times New Roman" w:hAnsi="Times New Roman" w:cs="Times New Roman"/>
          <w:sz w:val="24"/>
          <w:szCs w:val="24"/>
        </w:rPr>
        <w:lastRenderedPageBreak/>
        <w:t xml:space="preserve">weaker to stronger approaches to independence rather than settling </w:t>
      </w:r>
      <w:r w:rsidR="00BC7B0C" w:rsidRPr="00162185">
        <w:rPr>
          <w:rFonts w:ascii="Times New Roman" w:hAnsi="Times New Roman" w:cs="Times New Roman"/>
          <w:sz w:val="24"/>
          <w:szCs w:val="24"/>
        </w:rPr>
        <w:t xml:space="preserve">on a single set of acceptable arrangements. While there are differences in matters of detail, this approach to tribunal independence is </w:t>
      </w:r>
      <w:r w:rsidR="00A139A8" w:rsidRPr="00162185">
        <w:rPr>
          <w:rFonts w:ascii="Times New Roman" w:hAnsi="Times New Roman" w:cs="Times New Roman"/>
          <w:sz w:val="24"/>
          <w:szCs w:val="24"/>
        </w:rPr>
        <w:t xml:space="preserve">familiar to </w:t>
      </w:r>
      <w:r w:rsidR="00BC7B0C" w:rsidRPr="00162185">
        <w:rPr>
          <w:rFonts w:ascii="Times New Roman" w:hAnsi="Times New Roman" w:cs="Times New Roman"/>
          <w:sz w:val="24"/>
          <w:szCs w:val="24"/>
        </w:rPr>
        <w:t xml:space="preserve">Canadian commentators and it was gratifying </w:t>
      </w:r>
      <w:r w:rsidR="005A622D" w:rsidRPr="00162185">
        <w:rPr>
          <w:rFonts w:ascii="Times New Roman" w:hAnsi="Times New Roman" w:cs="Times New Roman"/>
          <w:sz w:val="24"/>
          <w:szCs w:val="24"/>
        </w:rPr>
        <w:t xml:space="preserve">to me </w:t>
      </w:r>
      <w:r w:rsidR="00BC7B0C" w:rsidRPr="00162185">
        <w:rPr>
          <w:rFonts w:ascii="Times New Roman" w:hAnsi="Times New Roman" w:cs="Times New Roman"/>
          <w:sz w:val="24"/>
          <w:szCs w:val="24"/>
        </w:rPr>
        <w:t>to see that the Report dr</w:t>
      </w:r>
      <w:r w:rsidR="00CE4200" w:rsidRPr="00162185">
        <w:rPr>
          <w:rFonts w:ascii="Times New Roman" w:hAnsi="Times New Roman" w:cs="Times New Roman"/>
          <w:sz w:val="24"/>
          <w:szCs w:val="24"/>
        </w:rPr>
        <w:t>ew</w:t>
      </w:r>
      <w:r w:rsidR="00BC7B0C" w:rsidRPr="00162185">
        <w:rPr>
          <w:rFonts w:ascii="Times New Roman" w:hAnsi="Times New Roman" w:cs="Times New Roman"/>
          <w:sz w:val="24"/>
          <w:szCs w:val="24"/>
        </w:rPr>
        <w:t xml:space="preserve"> on some of my own work </w:t>
      </w:r>
      <w:r w:rsidR="00A139A8" w:rsidRPr="00162185">
        <w:rPr>
          <w:rFonts w:ascii="Times New Roman" w:hAnsi="Times New Roman" w:cs="Times New Roman"/>
          <w:sz w:val="24"/>
          <w:szCs w:val="24"/>
        </w:rPr>
        <w:t>in coming to this conclusion</w:t>
      </w:r>
      <w:r w:rsidR="00BC7B0C" w:rsidRPr="00162185">
        <w:rPr>
          <w:rFonts w:ascii="Times New Roman" w:hAnsi="Times New Roman" w:cs="Times New Roman"/>
          <w:sz w:val="24"/>
          <w:szCs w:val="24"/>
        </w:rPr>
        <w:t>.</w:t>
      </w:r>
      <w:r w:rsidR="006B4EFD">
        <w:rPr>
          <w:rFonts w:ascii="Times New Roman" w:hAnsi="Times New Roman" w:cs="Times New Roman"/>
          <w:sz w:val="24"/>
          <w:szCs w:val="24"/>
        </w:rPr>
        <w:t xml:space="preserve"> </w:t>
      </w:r>
      <w:r w:rsidR="006B4EFD">
        <w:rPr>
          <w:rStyle w:val="FootnoteReference"/>
          <w:rFonts w:ascii="Times New Roman" w:hAnsi="Times New Roman" w:cs="Times New Roman"/>
          <w:sz w:val="24"/>
          <w:szCs w:val="24"/>
        </w:rPr>
        <w:footnoteReference w:id="13"/>
      </w:r>
    </w:p>
    <w:p w:rsidR="00BC7B0C" w:rsidRPr="00162185" w:rsidRDefault="00BC7B0C"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only broad area where I think the Report tends to depart markedly from Canadian thinking on tribunal independence is in the </w:t>
      </w:r>
      <w:r w:rsidR="00A139A8" w:rsidRPr="00162185">
        <w:rPr>
          <w:rFonts w:ascii="Times New Roman" w:hAnsi="Times New Roman" w:cs="Times New Roman"/>
          <w:sz w:val="24"/>
          <w:szCs w:val="24"/>
        </w:rPr>
        <w:t xml:space="preserve">articulation of the </w:t>
      </w:r>
      <w:r w:rsidRPr="00162185">
        <w:rPr>
          <w:rFonts w:ascii="Times New Roman" w:hAnsi="Times New Roman" w:cs="Times New Roman"/>
          <w:sz w:val="24"/>
          <w:szCs w:val="24"/>
        </w:rPr>
        <w:t xml:space="preserve">relationship between independence and accountability. </w:t>
      </w:r>
      <w:r w:rsidR="003031D4" w:rsidRPr="00162185">
        <w:rPr>
          <w:rFonts w:ascii="Times New Roman" w:hAnsi="Times New Roman" w:cs="Times New Roman"/>
          <w:sz w:val="24"/>
          <w:szCs w:val="24"/>
        </w:rPr>
        <w:t>M</w:t>
      </w:r>
      <w:r w:rsidR="00B74E57">
        <w:rPr>
          <w:rFonts w:ascii="Times New Roman" w:hAnsi="Times New Roman" w:cs="Times New Roman"/>
          <w:sz w:val="24"/>
          <w:szCs w:val="24"/>
        </w:rPr>
        <w:t>any</w:t>
      </w:r>
      <w:r w:rsidRPr="00162185">
        <w:rPr>
          <w:rFonts w:ascii="Times New Roman" w:hAnsi="Times New Roman" w:cs="Times New Roman"/>
          <w:sz w:val="24"/>
          <w:szCs w:val="24"/>
        </w:rPr>
        <w:t xml:space="preserve"> Canadian commentators</w:t>
      </w:r>
      <w:r w:rsidR="003031D4" w:rsidRPr="00162185">
        <w:rPr>
          <w:rFonts w:ascii="Times New Roman" w:hAnsi="Times New Roman" w:cs="Times New Roman"/>
          <w:sz w:val="24"/>
          <w:szCs w:val="24"/>
        </w:rPr>
        <w:t xml:space="preserve"> </w:t>
      </w:r>
      <w:r w:rsidRPr="00162185">
        <w:rPr>
          <w:rFonts w:ascii="Times New Roman" w:hAnsi="Times New Roman" w:cs="Times New Roman"/>
          <w:sz w:val="24"/>
          <w:szCs w:val="24"/>
        </w:rPr>
        <w:t xml:space="preserve">tend to think it is important to </w:t>
      </w:r>
      <w:r w:rsidR="00994E2B" w:rsidRPr="00162185">
        <w:rPr>
          <w:rFonts w:ascii="Times New Roman" w:hAnsi="Times New Roman" w:cs="Times New Roman"/>
          <w:sz w:val="24"/>
          <w:szCs w:val="24"/>
        </w:rPr>
        <w:t>emphasize that independence is not a mechanism for avoiding accountability</w:t>
      </w:r>
      <w:r w:rsidR="00681E86" w:rsidRPr="00162185">
        <w:rPr>
          <w:rFonts w:ascii="Times New Roman" w:hAnsi="Times New Roman" w:cs="Times New Roman"/>
          <w:sz w:val="24"/>
          <w:szCs w:val="24"/>
        </w:rPr>
        <w:t xml:space="preserve"> on the part of tribunals or individual adjudicators</w:t>
      </w:r>
      <w:r w:rsidR="00994E2B" w:rsidRPr="00162185">
        <w:rPr>
          <w:rFonts w:ascii="Times New Roman" w:hAnsi="Times New Roman" w:cs="Times New Roman"/>
          <w:sz w:val="24"/>
          <w:szCs w:val="24"/>
        </w:rPr>
        <w:t xml:space="preserve">, but a </w:t>
      </w:r>
      <w:r w:rsidR="00681E86" w:rsidRPr="00162185">
        <w:rPr>
          <w:rFonts w:ascii="Times New Roman" w:hAnsi="Times New Roman" w:cs="Times New Roman"/>
          <w:sz w:val="24"/>
          <w:szCs w:val="24"/>
        </w:rPr>
        <w:t>way of distinguishing appropriate from inappropriate ways of holding</w:t>
      </w:r>
      <w:r w:rsidRPr="00162185">
        <w:rPr>
          <w:rFonts w:ascii="Times New Roman" w:hAnsi="Times New Roman" w:cs="Times New Roman"/>
          <w:sz w:val="24"/>
          <w:szCs w:val="24"/>
        </w:rPr>
        <w:t xml:space="preserve"> </w:t>
      </w:r>
      <w:r w:rsidR="00681E86" w:rsidRPr="00162185">
        <w:rPr>
          <w:rFonts w:ascii="Times New Roman" w:hAnsi="Times New Roman" w:cs="Times New Roman"/>
          <w:sz w:val="24"/>
          <w:szCs w:val="24"/>
        </w:rPr>
        <w:t>tribunals and adjudicators accountable.</w:t>
      </w:r>
      <w:r w:rsidR="00D975CC" w:rsidRPr="00162185">
        <w:rPr>
          <w:rFonts w:ascii="Times New Roman" w:hAnsi="Times New Roman" w:cs="Times New Roman"/>
          <w:sz w:val="24"/>
          <w:szCs w:val="24"/>
        </w:rPr>
        <w:t xml:space="preserve"> I recognize that the </w:t>
      </w:r>
      <w:r w:rsidR="005A622D" w:rsidRPr="00162185">
        <w:rPr>
          <w:rFonts w:ascii="Times New Roman" w:hAnsi="Times New Roman" w:cs="Times New Roman"/>
          <w:sz w:val="24"/>
          <w:szCs w:val="24"/>
        </w:rPr>
        <w:t xml:space="preserve">subject matter of the </w:t>
      </w:r>
      <w:r w:rsidR="00D975CC" w:rsidRPr="00162185">
        <w:rPr>
          <w:rFonts w:ascii="Times New Roman" w:hAnsi="Times New Roman" w:cs="Times New Roman"/>
          <w:sz w:val="24"/>
          <w:szCs w:val="24"/>
        </w:rPr>
        <w:t xml:space="preserve">Report </w:t>
      </w:r>
      <w:r w:rsidR="005A622D" w:rsidRPr="00162185">
        <w:rPr>
          <w:rFonts w:ascii="Times New Roman" w:hAnsi="Times New Roman" w:cs="Times New Roman"/>
          <w:sz w:val="24"/>
          <w:szCs w:val="24"/>
        </w:rPr>
        <w:t>is</w:t>
      </w:r>
      <w:r w:rsidR="00D975CC" w:rsidRPr="00162185">
        <w:rPr>
          <w:rFonts w:ascii="Times New Roman" w:hAnsi="Times New Roman" w:cs="Times New Roman"/>
          <w:sz w:val="24"/>
          <w:szCs w:val="24"/>
        </w:rPr>
        <w:t xml:space="preserve"> independence rather than accountability and I can see why </w:t>
      </w:r>
      <w:r w:rsidR="00DC041B" w:rsidRPr="00162185">
        <w:rPr>
          <w:rFonts w:ascii="Times New Roman" w:hAnsi="Times New Roman" w:cs="Times New Roman"/>
          <w:sz w:val="24"/>
          <w:szCs w:val="24"/>
        </w:rPr>
        <w:t xml:space="preserve">it is more important to focus on the institutional arrangements that are needed to secure tribunal independence than it is to draw attention to appropriate ways in which tribunals </w:t>
      </w:r>
      <w:r w:rsidR="00631C6D">
        <w:rPr>
          <w:rFonts w:ascii="Times New Roman" w:hAnsi="Times New Roman" w:cs="Times New Roman"/>
          <w:sz w:val="24"/>
          <w:szCs w:val="24"/>
        </w:rPr>
        <w:t xml:space="preserve">and their members </w:t>
      </w:r>
      <w:r w:rsidR="00DC041B" w:rsidRPr="00162185">
        <w:rPr>
          <w:rFonts w:ascii="Times New Roman" w:hAnsi="Times New Roman" w:cs="Times New Roman"/>
          <w:sz w:val="24"/>
          <w:szCs w:val="24"/>
        </w:rPr>
        <w:t>can be held accountable. Nevertheless, it seems to me that the separation of these two concepts is unfortunate</w:t>
      </w:r>
      <w:r w:rsidR="009A7CC1" w:rsidRPr="00162185">
        <w:rPr>
          <w:rFonts w:ascii="Times New Roman" w:hAnsi="Times New Roman" w:cs="Times New Roman"/>
          <w:sz w:val="24"/>
          <w:szCs w:val="24"/>
        </w:rPr>
        <w:t xml:space="preserve">. First of all, </w:t>
      </w:r>
      <w:r w:rsidR="00DC041B" w:rsidRPr="00162185">
        <w:rPr>
          <w:rFonts w:ascii="Times New Roman" w:hAnsi="Times New Roman" w:cs="Times New Roman"/>
          <w:sz w:val="24"/>
          <w:szCs w:val="24"/>
        </w:rPr>
        <w:t xml:space="preserve">I think the </w:t>
      </w:r>
      <w:r w:rsidR="00CE4200" w:rsidRPr="00162185">
        <w:rPr>
          <w:rFonts w:ascii="Times New Roman" w:hAnsi="Times New Roman" w:cs="Times New Roman"/>
          <w:sz w:val="24"/>
          <w:szCs w:val="24"/>
        </w:rPr>
        <w:t xml:space="preserve">linkage between independence and accountability </w:t>
      </w:r>
      <w:r w:rsidR="009A7CC1" w:rsidRPr="00162185">
        <w:rPr>
          <w:rFonts w:ascii="Times New Roman" w:hAnsi="Times New Roman" w:cs="Times New Roman"/>
          <w:sz w:val="24"/>
          <w:szCs w:val="24"/>
        </w:rPr>
        <w:t>makes the case for independence more palatable to government. Just as importantly, however, it serves as a reminder to individual adjudicators that their right and obligation to exercise independent judgment in assessing the cases before them is c</w:t>
      </w:r>
      <w:r w:rsidR="005A622D" w:rsidRPr="00162185">
        <w:rPr>
          <w:rFonts w:ascii="Times New Roman" w:hAnsi="Times New Roman" w:cs="Times New Roman"/>
          <w:sz w:val="24"/>
          <w:szCs w:val="24"/>
        </w:rPr>
        <w:t>omplemented</w:t>
      </w:r>
      <w:r w:rsidR="009A7CC1" w:rsidRPr="00162185">
        <w:rPr>
          <w:rFonts w:ascii="Times New Roman" w:hAnsi="Times New Roman" w:cs="Times New Roman"/>
          <w:sz w:val="24"/>
          <w:szCs w:val="24"/>
        </w:rPr>
        <w:t xml:space="preserve"> by their obligation to do so in a manner that is fair, expeditious and respectful of the limits on their authority.   </w:t>
      </w:r>
      <w:r w:rsidR="00681E86" w:rsidRPr="00162185">
        <w:rPr>
          <w:rFonts w:ascii="Times New Roman" w:hAnsi="Times New Roman" w:cs="Times New Roman"/>
          <w:sz w:val="24"/>
          <w:szCs w:val="24"/>
        </w:rPr>
        <w:t xml:space="preserve"> </w:t>
      </w:r>
      <w:r w:rsidRPr="00162185">
        <w:rPr>
          <w:rFonts w:ascii="Times New Roman" w:hAnsi="Times New Roman" w:cs="Times New Roman"/>
          <w:sz w:val="24"/>
          <w:szCs w:val="24"/>
        </w:rPr>
        <w:t xml:space="preserve">  </w:t>
      </w:r>
    </w:p>
    <w:p w:rsidR="008A1EA1" w:rsidRPr="00B74E57" w:rsidRDefault="008A1EA1" w:rsidP="00162185">
      <w:pPr>
        <w:spacing w:line="360" w:lineRule="auto"/>
        <w:jc w:val="both"/>
        <w:rPr>
          <w:rFonts w:ascii="Times New Roman" w:hAnsi="Times New Roman" w:cs="Times New Roman"/>
          <w:b/>
          <w:sz w:val="24"/>
          <w:szCs w:val="24"/>
        </w:rPr>
      </w:pPr>
      <w:r w:rsidRPr="00B74E57">
        <w:rPr>
          <w:rFonts w:ascii="Times New Roman" w:hAnsi="Times New Roman" w:cs="Times New Roman"/>
          <w:b/>
          <w:sz w:val="24"/>
          <w:szCs w:val="24"/>
        </w:rPr>
        <w:t>Administrative Independence</w:t>
      </w:r>
    </w:p>
    <w:p w:rsidR="00473355" w:rsidRPr="00162185" w:rsidRDefault="009A7CC1"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Let me then turn to the area of administrative independence. Here it seems useful to note that </w:t>
      </w:r>
      <w:r w:rsidR="00B52DF2" w:rsidRPr="00162185">
        <w:rPr>
          <w:rFonts w:ascii="Times New Roman" w:hAnsi="Times New Roman" w:cs="Times New Roman"/>
          <w:sz w:val="24"/>
          <w:szCs w:val="24"/>
        </w:rPr>
        <w:t xml:space="preserve">the concept of administrative independence as part of </w:t>
      </w:r>
      <w:r w:rsidR="00CE4200" w:rsidRPr="00162185">
        <w:rPr>
          <w:rFonts w:ascii="Times New Roman" w:hAnsi="Times New Roman" w:cs="Times New Roman"/>
          <w:sz w:val="24"/>
          <w:szCs w:val="24"/>
        </w:rPr>
        <w:t>Canada’s constitutional guarantee</w:t>
      </w:r>
      <w:r w:rsidR="00B52DF2" w:rsidRPr="00162185">
        <w:rPr>
          <w:rFonts w:ascii="Times New Roman" w:hAnsi="Times New Roman" w:cs="Times New Roman"/>
          <w:sz w:val="24"/>
          <w:szCs w:val="24"/>
        </w:rPr>
        <w:t xml:space="preserve"> of judicial independence is much more restrict</w:t>
      </w:r>
      <w:r w:rsidR="006B4EFD">
        <w:rPr>
          <w:rFonts w:ascii="Times New Roman" w:hAnsi="Times New Roman" w:cs="Times New Roman"/>
          <w:sz w:val="24"/>
          <w:szCs w:val="24"/>
        </w:rPr>
        <w:t>ed</w:t>
      </w:r>
      <w:r w:rsidR="00B52DF2" w:rsidRPr="00162185">
        <w:rPr>
          <w:rFonts w:ascii="Times New Roman" w:hAnsi="Times New Roman" w:cs="Times New Roman"/>
          <w:sz w:val="24"/>
          <w:szCs w:val="24"/>
        </w:rPr>
        <w:t xml:space="preserve"> than the concept of administrative independence </w:t>
      </w:r>
      <w:r w:rsidR="006B4EFD">
        <w:rPr>
          <w:rFonts w:ascii="Times New Roman" w:hAnsi="Times New Roman" w:cs="Times New Roman"/>
          <w:sz w:val="24"/>
          <w:szCs w:val="24"/>
        </w:rPr>
        <w:t>that</w:t>
      </w:r>
      <w:r w:rsidR="00B52DF2" w:rsidRPr="00162185">
        <w:rPr>
          <w:rFonts w:ascii="Times New Roman" w:hAnsi="Times New Roman" w:cs="Times New Roman"/>
          <w:sz w:val="24"/>
          <w:szCs w:val="24"/>
        </w:rPr>
        <w:t xml:space="preserve"> is described in the Report. At least to date, Canadian jurisprudence would suggest that all that is required </w:t>
      </w:r>
      <w:r w:rsidR="003031D4" w:rsidRPr="00162185">
        <w:rPr>
          <w:rFonts w:ascii="Times New Roman" w:hAnsi="Times New Roman" w:cs="Times New Roman"/>
          <w:sz w:val="24"/>
          <w:szCs w:val="24"/>
        </w:rPr>
        <w:t xml:space="preserve">to meet constitutional standards of </w:t>
      </w:r>
      <w:r w:rsidR="00CE4200" w:rsidRPr="00162185">
        <w:rPr>
          <w:rFonts w:ascii="Times New Roman" w:hAnsi="Times New Roman" w:cs="Times New Roman"/>
          <w:sz w:val="24"/>
          <w:szCs w:val="24"/>
        </w:rPr>
        <w:t xml:space="preserve">administrative </w:t>
      </w:r>
      <w:r w:rsidR="00B52DF2" w:rsidRPr="00162185">
        <w:rPr>
          <w:rFonts w:ascii="Times New Roman" w:hAnsi="Times New Roman" w:cs="Times New Roman"/>
          <w:sz w:val="24"/>
          <w:szCs w:val="24"/>
        </w:rPr>
        <w:t>independence is that the judiciary has control over its docket</w:t>
      </w:r>
      <w:r w:rsidR="00473355" w:rsidRPr="00162185">
        <w:rPr>
          <w:rFonts w:ascii="Times New Roman" w:hAnsi="Times New Roman" w:cs="Times New Roman"/>
          <w:sz w:val="24"/>
          <w:szCs w:val="24"/>
        </w:rPr>
        <w:t xml:space="preserve"> (</w:t>
      </w:r>
      <w:r w:rsidR="00B52DF2" w:rsidRPr="00162185">
        <w:rPr>
          <w:rFonts w:ascii="Times New Roman" w:hAnsi="Times New Roman" w:cs="Times New Roman"/>
          <w:sz w:val="24"/>
          <w:szCs w:val="24"/>
        </w:rPr>
        <w:t>in other words that a member of the judiciary rather than an executive official decides which judges hear which cases</w:t>
      </w:r>
      <w:r w:rsidR="00473355" w:rsidRPr="00162185">
        <w:rPr>
          <w:rFonts w:ascii="Times New Roman" w:hAnsi="Times New Roman" w:cs="Times New Roman"/>
          <w:sz w:val="24"/>
          <w:szCs w:val="24"/>
        </w:rPr>
        <w:t>)</w:t>
      </w:r>
      <w:r w:rsidR="00B52DF2" w:rsidRPr="00162185">
        <w:rPr>
          <w:rFonts w:ascii="Times New Roman" w:hAnsi="Times New Roman" w:cs="Times New Roman"/>
          <w:sz w:val="24"/>
          <w:szCs w:val="24"/>
        </w:rPr>
        <w:t xml:space="preserve"> and that judges are entitled to exercise control over the conduct of cases in their courtrooms</w:t>
      </w:r>
      <w:r w:rsidR="006B4EFD">
        <w:rPr>
          <w:rFonts w:ascii="Times New Roman" w:hAnsi="Times New Roman" w:cs="Times New Roman"/>
          <w:sz w:val="24"/>
          <w:szCs w:val="24"/>
        </w:rPr>
        <w:t>.</w:t>
      </w:r>
      <w:r w:rsidR="00B52DF2" w:rsidRPr="00162185">
        <w:rPr>
          <w:rFonts w:ascii="Times New Roman" w:hAnsi="Times New Roman" w:cs="Times New Roman"/>
          <w:sz w:val="24"/>
          <w:szCs w:val="24"/>
        </w:rPr>
        <w:t xml:space="preserve"> </w:t>
      </w:r>
      <w:r w:rsidR="00B74E57">
        <w:rPr>
          <w:rStyle w:val="FootnoteReference"/>
          <w:rFonts w:ascii="Times New Roman" w:hAnsi="Times New Roman" w:cs="Times New Roman"/>
          <w:sz w:val="24"/>
          <w:szCs w:val="24"/>
        </w:rPr>
        <w:footnoteReference w:id="14"/>
      </w:r>
    </w:p>
    <w:p w:rsidR="00F40724" w:rsidRPr="00162185" w:rsidRDefault="00B52DF2"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lastRenderedPageBreak/>
        <w:t xml:space="preserve">At the federal level we have established a Commissioner of Judicial Affairs who provides certain </w:t>
      </w:r>
      <w:r w:rsidR="00473355" w:rsidRPr="00162185">
        <w:rPr>
          <w:rFonts w:ascii="Times New Roman" w:hAnsi="Times New Roman" w:cs="Times New Roman"/>
          <w:sz w:val="24"/>
          <w:szCs w:val="24"/>
        </w:rPr>
        <w:t xml:space="preserve">support </w:t>
      </w:r>
      <w:r w:rsidRPr="00162185">
        <w:rPr>
          <w:rFonts w:ascii="Times New Roman" w:hAnsi="Times New Roman" w:cs="Times New Roman"/>
          <w:sz w:val="24"/>
          <w:szCs w:val="24"/>
        </w:rPr>
        <w:t xml:space="preserve">services to </w:t>
      </w:r>
      <w:r w:rsidR="00F40724" w:rsidRPr="00162185">
        <w:rPr>
          <w:rFonts w:ascii="Times New Roman" w:hAnsi="Times New Roman" w:cs="Times New Roman"/>
          <w:sz w:val="24"/>
          <w:szCs w:val="24"/>
        </w:rPr>
        <w:t xml:space="preserve">the federally appointed judiciary at arm’s length from the Minister of Justice. </w:t>
      </w:r>
      <w:r w:rsidR="00473355" w:rsidRPr="00162185">
        <w:rPr>
          <w:rFonts w:ascii="Times New Roman" w:hAnsi="Times New Roman" w:cs="Times New Roman"/>
          <w:sz w:val="24"/>
          <w:szCs w:val="24"/>
        </w:rPr>
        <w:t>Nevertheless, t</w:t>
      </w:r>
      <w:r w:rsidR="00F40724" w:rsidRPr="00162185">
        <w:rPr>
          <w:rFonts w:ascii="Times New Roman" w:hAnsi="Times New Roman" w:cs="Times New Roman"/>
          <w:sz w:val="24"/>
          <w:szCs w:val="24"/>
        </w:rPr>
        <w:t xml:space="preserve">he Commissioner’s role is </w:t>
      </w:r>
      <w:r w:rsidR="00CE4200" w:rsidRPr="00162185">
        <w:rPr>
          <w:rFonts w:ascii="Times New Roman" w:hAnsi="Times New Roman" w:cs="Times New Roman"/>
          <w:sz w:val="24"/>
          <w:szCs w:val="24"/>
        </w:rPr>
        <w:t>limited</w:t>
      </w:r>
      <w:r w:rsidR="00F40724" w:rsidRPr="00162185">
        <w:rPr>
          <w:rFonts w:ascii="Times New Roman" w:hAnsi="Times New Roman" w:cs="Times New Roman"/>
          <w:sz w:val="24"/>
          <w:szCs w:val="24"/>
        </w:rPr>
        <w:t xml:space="preserve"> to administrative support in respect of judicial appointments, judicial education, international co-operation activities of judges, official languages support, internal communications and the work of the Canadian Judicial Council in addressing public complaints about federally appointed judges.</w:t>
      </w:r>
      <w:r w:rsidR="006B4EFD">
        <w:rPr>
          <w:rStyle w:val="FootnoteReference"/>
          <w:rFonts w:ascii="Times New Roman" w:hAnsi="Times New Roman" w:cs="Times New Roman"/>
          <w:sz w:val="24"/>
          <w:szCs w:val="24"/>
        </w:rPr>
        <w:footnoteReference w:id="15"/>
      </w:r>
      <w:r w:rsidR="00F40724" w:rsidRPr="00162185">
        <w:rPr>
          <w:rFonts w:ascii="Times New Roman" w:hAnsi="Times New Roman" w:cs="Times New Roman"/>
          <w:sz w:val="24"/>
          <w:szCs w:val="24"/>
        </w:rPr>
        <w:t xml:space="preserve"> The</w:t>
      </w:r>
      <w:r w:rsidR="00CE4200" w:rsidRPr="00162185">
        <w:rPr>
          <w:rFonts w:ascii="Times New Roman" w:hAnsi="Times New Roman" w:cs="Times New Roman"/>
          <w:sz w:val="24"/>
          <w:szCs w:val="24"/>
        </w:rPr>
        <w:t>se are all important functions, but it is important to recognize</w:t>
      </w:r>
      <w:r w:rsidR="00F40724" w:rsidRPr="00162185">
        <w:rPr>
          <w:rFonts w:ascii="Times New Roman" w:hAnsi="Times New Roman" w:cs="Times New Roman"/>
          <w:sz w:val="24"/>
          <w:szCs w:val="24"/>
        </w:rPr>
        <w:t xml:space="preserve"> </w:t>
      </w:r>
      <w:r w:rsidR="00105DC7">
        <w:rPr>
          <w:rFonts w:ascii="Times New Roman" w:hAnsi="Times New Roman" w:cs="Times New Roman"/>
          <w:sz w:val="24"/>
          <w:szCs w:val="24"/>
        </w:rPr>
        <w:t xml:space="preserve">that the </w:t>
      </w:r>
      <w:r w:rsidR="00F40724" w:rsidRPr="00162185">
        <w:rPr>
          <w:rFonts w:ascii="Times New Roman" w:hAnsi="Times New Roman" w:cs="Times New Roman"/>
          <w:sz w:val="24"/>
          <w:szCs w:val="24"/>
        </w:rPr>
        <w:t xml:space="preserve">Commissioner does not deal with such things as court facilities, budgets for the </w:t>
      </w:r>
      <w:r w:rsidR="003031D4" w:rsidRPr="00162185">
        <w:rPr>
          <w:rFonts w:ascii="Times New Roman" w:hAnsi="Times New Roman" w:cs="Times New Roman"/>
          <w:sz w:val="24"/>
          <w:szCs w:val="24"/>
        </w:rPr>
        <w:t xml:space="preserve">various federal and provincial superior courts, </w:t>
      </w:r>
      <w:r w:rsidR="00F40724" w:rsidRPr="00162185">
        <w:rPr>
          <w:rFonts w:ascii="Times New Roman" w:hAnsi="Times New Roman" w:cs="Times New Roman"/>
          <w:sz w:val="24"/>
          <w:szCs w:val="24"/>
        </w:rPr>
        <w:t>or management of court staff</w:t>
      </w:r>
      <w:r w:rsidR="00CF15AA" w:rsidRPr="00162185">
        <w:rPr>
          <w:rFonts w:ascii="Times New Roman" w:hAnsi="Times New Roman" w:cs="Times New Roman"/>
          <w:sz w:val="24"/>
          <w:szCs w:val="24"/>
        </w:rPr>
        <w:t>. A</w:t>
      </w:r>
      <w:r w:rsidR="00F40724" w:rsidRPr="00162185">
        <w:rPr>
          <w:rFonts w:ascii="Times New Roman" w:hAnsi="Times New Roman" w:cs="Times New Roman"/>
          <w:sz w:val="24"/>
          <w:szCs w:val="24"/>
        </w:rPr>
        <w:t xml:space="preserve">ll of </w:t>
      </w:r>
      <w:r w:rsidR="00CF15AA" w:rsidRPr="00162185">
        <w:rPr>
          <w:rFonts w:ascii="Times New Roman" w:hAnsi="Times New Roman" w:cs="Times New Roman"/>
          <w:sz w:val="24"/>
          <w:szCs w:val="24"/>
        </w:rPr>
        <w:t>these</w:t>
      </w:r>
      <w:r w:rsidR="00F40724" w:rsidRPr="00162185">
        <w:rPr>
          <w:rFonts w:ascii="Times New Roman" w:hAnsi="Times New Roman" w:cs="Times New Roman"/>
          <w:sz w:val="24"/>
          <w:szCs w:val="24"/>
        </w:rPr>
        <w:t xml:space="preserve"> fall within the responsibility of the relevant federal o</w:t>
      </w:r>
      <w:r w:rsidR="00473355" w:rsidRPr="00162185">
        <w:rPr>
          <w:rFonts w:ascii="Times New Roman" w:hAnsi="Times New Roman" w:cs="Times New Roman"/>
          <w:sz w:val="24"/>
          <w:szCs w:val="24"/>
        </w:rPr>
        <w:t>r</w:t>
      </w:r>
      <w:r w:rsidR="00F40724" w:rsidRPr="00162185">
        <w:rPr>
          <w:rFonts w:ascii="Times New Roman" w:hAnsi="Times New Roman" w:cs="Times New Roman"/>
          <w:sz w:val="24"/>
          <w:szCs w:val="24"/>
        </w:rPr>
        <w:t xml:space="preserve"> provincial Minister of Justice.</w:t>
      </w:r>
    </w:p>
    <w:p w:rsidR="00460501" w:rsidRPr="00162185" w:rsidRDefault="00F40724"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My goal in mentioning this is not to suggest that this is an ideal system, but to </w:t>
      </w:r>
      <w:r w:rsidR="00473355" w:rsidRPr="00162185">
        <w:rPr>
          <w:rFonts w:ascii="Times New Roman" w:hAnsi="Times New Roman" w:cs="Times New Roman"/>
          <w:sz w:val="24"/>
          <w:szCs w:val="24"/>
        </w:rPr>
        <w:t xml:space="preserve">observe that the constitutional protection of judicial independence in </w:t>
      </w:r>
      <w:r w:rsidRPr="00162185">
        <w:rPr>
          <w:rFonts w:ascii="Times New Roman" w:hAnsi="Times New Roman" w:cs="Times New Roman"/>
          <w:sz w:val="24"/>
          <w:szCs w:val="24"/>
        </w:rPr>
        <w:t xml:space="preserve">Canada does not provide a </w:t>
      </w:r>
      <w:r w:rsidR="002F2B52" w:rsidRPr="00162185">
        <w:rPr>
          <w:rFonts w:ascii="Times New Roman" w:hAnsi="Times New Roman" w:cs="Times New Roman"/>
          <w:sz w:val="24"/>
          <w:szCs w:val="24"/>
        </w:rPr>
        <w:t xml:space="preserve">particularly useful model for robustly </w:t>
      </w:r>
      <w:r w:rsidR="00CF15AA" w:rsidRPr="00162185">
        <w:rPr>
          <w:rFonts w:ascii="Times New Roman" w:hAnsi="Times New Roman" w:cs="Times New Roman"/>
          <w:sz w:val="24"/>
          <w:szCs w:val="24"/>
        </w:rPr>
        <w:t xml:space="preserve">protecting the </w:t>
      </w:r>
      <w:r w:rsidR="002F2B52" w:rsidRPr="00162185">
        <w:rPr>
          <w:rFonts w:ascii="Times New Roman" w:hAnsi="Times New Roman" w:cs="Times New Roman"/>
          <w:sz w:val="24"/>
          <w:szCs w:val="24"/>
        </w:rPr>
        <w:t xml:space="preserve">independent administration of tribunals. It is still the norm in Canada that the administrative </w:t>
      </w:r>
      <w:r w:rsidR="00631C6D">
        <w:rPr>
          <w:rFonts w:ascii="Times New Roman" w:hAnsi="Times New Roman" w:cs="Times New Roman"/>
          <w:sz w:val="24"/>
          <w:szCs w:val="24"/>
        </w:rPr>
        <w:t xml:space="preserve">support </w:t>
      </w:r>
      <w:r w:rsidR="002F2B52" w:rsidRPr="00162185">
        <w:rPr>
          <w:rFonts w:ascii="Times New Roman" w:hAnsi="Times New Roman" w:cs="Times New Roman"/>
          <w:sz w:val="24"/>
          <w:szCs w:val="24"/>
        </w:rPr>
        <w:t xml:space="preserve">arrangements for tribunals are the responsibility of a </w:t>
      </w:r>
      <w:r w:rsidR="00473355" w:rsidRPr="00162185">
        <w:rPr>
          <w:rFonts w:ascii="Times New Roman" w:hAnsi="Times New Roman" w:cs="Times New Roman"/>
          <w:sz w:val="24"/>
          <w:szCs w:val="24"/>
        </w:rPr>
        <w:t xml:space="preserve">portfolio </w:t>
      </w:r>
      <w:r w:rsidR="002F2B52" w:rsidRPr="00162185">
        <w:rPr>
          <w:rFonts w:ascii="Times New Roman" w:hAnsi="Times New Roman" w:cs="Times New Roman"/>
          <w:sz w:val="24"/>
          <w:szCs w:val="24"/>
        </w:rPr>
        <w:t xml:space="preserve">Ministry whose mandate </w:t>
      </w:r>
      <w:r w:rsidR="00105DC7">
        <w:rPr>
          <w:rFonts w:ascii="Times New Roman" w:hAnsi="Times New Roman" w:cs="Times New Roman"/>
          <w:sz w:val="24"/>
          <w:szCs w:val="24"/>
        </w:rPr>
        <w:t xml:space="preserve">typically </w:t>
      </w:r>
      <w:r w:rsidR="002F2B52" w:rsidRPr="00162185">
        <w:rPr>
          <w:rFonts w:ascii="Times New Roman" w:hAnsi="Times New Roman" w:cs="Times New Roman"/>
          <w:sz w:val="24"/>
          <w:szCs w:val="24"/>
        </w:rPr>
        <w:t xml:space="preserve">overlaps with the subject matter jurisdiction of the tribunal. There has been a tendency to develop memoranda of understanding that address such things as facilities, </w:t>
      </w:r>
      <w:r w:rsidR="00460501" w:rsidRPr="00162185">
        <w:rPr>
          <w:rFonts w:ascii="Times New Roman" w:hAnsi="Times New Roman" w:cs="Times New Roman"/>
          <w:sz w:val="24"/>
          <w:szCs w:val="24"/>
        </w:rPr>
        <w:t xml:space="preserve">finance and </w:t>
      </w:r>
      <w:r w:rsidR="002F2B52" w:rsidRPr="00162185">
        <w:rPr>
          <w:rFonts w:ascii="Times New Roman" w:hAnsi="Times New Roman" w:cs="Times New Roman"/>
          <w:sz w:val="24"/>
          <w:szCs w:val="24"/>
        </w:rPr>
        <w:t xml:space="preserve">budgets, </w:t>
      </w:r>
      <w:r w:rsidR="00460501" w:rsidRPr="00162185">
        <w:rPr>
          <w:rFonts w:ascii="Times New Roman" w:hAnsi="Times New Roman" w:cs="Times New Roman"/>
          <w:sz w:val="24"/>
          <w:szCs w:val="24"/>
        </w:rPr>
        <w:t xml:space="preserve">human resources and </w:t>
      </w:r>
      <w:r w:rsidR="002F2B52" w:rsidRPr="00162185">
        <w:rPr>
          <w:rFonts w:ascii="Times New Roman" w:hAnsi="Times New Roman" w:cs="Times New Roman"/>
          <w:sz w:val="24"/>
          <w:szCs w:val="24"/>
        </w:rPr>
        <w:t>support staff, information technology</w:t>
      </w:r>
      <w:r w:rsidR="00631C6D">
        <w:rPr>
          <w:rFonts w:ascii="Times New Roman" w:hAnsi="Times New Roman" w:cs="Times New Roman"/>
          <w:sz w:val="24"/>
          <w:szCs w:val="24"/>
        </w:rPr>
        <w:t>, communications</w:t>
      </w:r>
      <w:r w:rsidR="002F2B52" w:rsidRPr="00162185">
        <w:rPr>
          <w:rFonts w:ascii="Times New Roman" w:hAnsi="Times New Roman" w:cs="Times New Roman"/>
          <w:sz w:val="24"/>
          <w:szCs w:val="24"/>
        </w:rPr>
        <w:t xml:space="preserve"> and protocols for consultation around appointments</w:t>
      </w:r>
      <w:r w:rsidR="00CF15AA" w:rsidRPr="00162185">
        <w:rPr>
          <w:rFonts w:ascii="Times New Roman" w:hAnsi="Times New Roman" w:cs="Times New Roman"/>
          <w:sz w:val="24"/>
          <w:szCs w:val="24"/>
        </w:rPr>
        <w:t>. Sometimes statutes call f</w:t>
      </w:r>
      <w:r w:rsidR="00631C6D">
        <w:rPr>
          <w:rFonts w:ascii="Times New Roman" w:hAnsi="Times New Roman" w:cs="Times New Roman"/>
          <w:sz w:val="24"/>
          <w:szCs w:val="24"/>
        </w:rPr>
        <w:t xml:space="preserve">or </w:t>
      </w:r>
      <w:r w:rsidR="00CF15AA" w:rsidRPr="00162185">
        <w:rPr>
          <w:rFonts w:ascii="Times New Roman" w:hAnsi="Times New Roman" w:cs="Times New Roman"/>
          <w:sz w:val="24"/>
          <w:szCs w:val="24"/>
        </w:rPr>
        <w:t>the creation of these agreements and in other cases they are developed as a matter of government policy. S</w:t>
      </w:r>
      <w:r w:rsidR="002F2B52" w:rsidRPr="00162185">
        <w:rPr>
          <w:rFonts w:ascii="Times New Roman" w:hAnsi="Times New Roman" w:cs="Times New Roman"/>
          <w:sz w:val="24"/>
          <w:szCs w:val="24"/>
        </w:rPr>
        <w:t>uch agreements are not in place everywhere and even where they are</w:t>
      </w:r>
      <w:r w:rsidR="00105DC7">
        <w:rPr>
          <w:rFonts w:ascii="Times New Roman" w:hAnsi="Times New Roman" w:cs="Times New Roman"/>
          <w:sz w:val="24"/>
          <w:szCs w:val="24"/>
        </w:rPr>
        <w:t>,</w:t>
      </w:r>
      <w:r w:rsidR="002F2B52" w:rsidRPr="00162185">
        <w:rPr>
          <w:rFonts w:ascii="Times New Roman" w:hAnsi="Times New Roman" w:cs="Times New Roman"/>
          <w:sz w:val="24"/>
          <w:szCs w:val="24"/>
        </w:rPr>
        <w:t xml:space="preserve"> compliance is </w:t>
      </w:r>
      <w:r w:rsidR="00BA60E6" w:rsidRPr="00162185">
        <w:rPr>
          <w:rFonts w:ascii="Times New Roman" w:hAnsi="Times New Roman" w:cs="Times New Roman"/>
          <w:sz w:val="24"/>
          <w:szCs w:val="24"/>
        </w:rPr>
        <w:t>often</w:t>
      </w:r>
      <w:r w:rsidR="002F2B52" w:rsidRPr="00162185">
        <w:rPr>
          <w:rFonts w:ascii="Times New Roman" w:hAnsi="Times New Roman" w:cs="Times New Roman"/>
          <w:sz w:val="24"/>
          <w:szCs w:val="24"/>
        </w:rPr>
        <w:t xml:space="preserve"> only as </w:t>
      </w:r>
      <w:r w:rsidR="00BA60E6" w:rsidRPr="00162185">
        <w:rPr>
          <w:rFonts w:ascii="Times New Roman" w:hAnsi="Times New Roman" w:cs="Times New Roman"/>
          <w:sz w:val="24"/>
          <w:szCs w:val="24"/>
        </w:rPr>
        <w:t>reliable</w:t>
      </w:r>
      <w:r w:rsidR="002F2B52" w:rsidRPr="00162185">
        <w:rPr>
          <w:rFonts w:ascii="Times New Roman" w:hAnsi="Times New Roman" w:cs="Times New Roman"/>
          <w:sz w:val="24"/>
          <w:szCs w:val="24"/>
        </w:rPr>
        <w:t xml:space="preserve"> as the relationship between the tribunal and the Ministry.</w:t>
      </w:r>
    </w:p>
    <w:p w:rsidR="00473355" w:rsidRPr="00162185" w:rsidRDefault="00460501"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Bearing this in mind, it would appear that Canada does not have very much to offer </w:t>
      </w:r>
      <w:r w:rsidR="00CF15AA" w:rsidRPr="00162185">
        <w:rPr>
          <w:rFonts w:ascii="Times New Roman" w:hAnsi="Times New Roman" w:cs="Times New Roman"/>
          <w:sz w:val="24"/>
          <w:szCs w:val="24"/>
        </w:rPr>
        <w:t xml:space="preserve">to Australia and New Zealand </w:t>
      </w:r>
      <w:r w:rsidRPr="00162185">
        <w:rPr>
          <w:rFonts w:ascii="Times New Roman" w:hAnsi="Times New Roman" w:cs="Times New Roman"/>
          <w:sz w:val="24"/>
          <w:szCs w:val="24"/>
        </w:rPr>
        <w:t xml:space="preserve">if what you are looking for is models of </w:t>
      </w:r>
      <w:r w:rsidR="00631C6D">
        <w:rPr>
          <w:rFonts w:ascii="Times New Roman" w:hAnsi="Times New Roman" w:cs="Times New Roman"/>
          <w:sz w:val="24"/>
          <w:szCs w:val="24"/>
        </w:rPr>
        <w:t xml:space="preserve">highly </w:t>
      </w:r>
      <w:r w:rsidRPr="00162185">
        <w:rPr>
          <w:rFonts w:ascii="Times New Roman" w:hAnsi="Times New Roman" w:cs="Times New Roman"/>
          <w:sz w:val="24"/>
          <w:szCs w:val="24"/>
        </w:rPr>
        <w:t xml:space="preserve">independent tribunal administration. On the other hand, I think we may be able to offer </w:t>
      </w:r>
      <w:r w:rsidR="00CF15AA" w:rsidRPr="00162185">
        <w:rPr>
          <w:rFonts w:ascii="Times New Roman" w:hAnsi="Times New Roman" w:cs="Times New Roman"/>
          <w:sz w:val="24"/>
          <w:szCs w:val="24"/>
        </w:rPr>
        <w:t>some</w:t>
      </w:r>
      <w:r w:rsidRPr="00162185">
        <w:rPr>
          <w:rFonts w:ascii="Times New Roman" w:hAnsi="Times New Roman" w:cs="Times New Roman"/>
          <w:sz w:val="24"/>
          <w:szCs w:val="24"/>
        </w:rPr>
        <w:t xml:space="preserve"> insight into the question of whether asking individual tribunals to take control over all aspects of their internal administration is a particularly efficient way of meeting </w:t>
      </w:r>
      <w:r w:rsidR="003E5EB0" w:rsidRPr="00162185">
        <w:rPr>
          <w:rFonts w:ascii="Times New Roman" w:hAnsi="Times New Roman" w:cs="Times New Roman"/>
          <w:sz w:val="24"/>
          <w:szCs w:val="24"/>
        </w:rPr>
        <w:t xml:space="preserve">those needs, or one that is best calculated to help tribunals provide </w:t>
      </w:r>
      <w:r w:rsidR="00CF15AA" w:rsidRPr="00162185">
        <w:rPr>
          <w:rFonts w:ascii="Times New Roman" w:hAnsi="Times New Roman" w:cs="Times New Roman"/>
          <w:sz w:val="24"/>
          <w:szCs w:val="24"/>
        </w:rPr>
        <w:t xml:space="preserve">optimal </w:t>
      </w:r>
      <w:r w:rsidR="003E5EB0" w:rsidRPr="00162185">
        <w:rPr>
          <w:rFonts w:ascii="Times New Roman" w:hAnsi="Times New Roman" w:cs="Times New Roman"/>
          <w:sz w:val="24"/>
          <w:szCs w:val="24"/>
        </w:rPr>
        <w:t xml:space="preserve">service to those who appear before them. </w:t>
      </w:r>
      <w:r w:rsidR="00473355" w:rsidRPr="00162185">
        <w:rPr>
          <w:rFonts w:ascii="Times New Roman" w:hAnsi="Times New Roman" w:cs="Times New Roman"/>
          <w:sz w:val="24"/>
          <w:szCs w:val="24"/>
        </w:rPr>
        <w:t xml:space="preserve">Let me offer two examples of how Canada has tried to organize administrative support for tribunals without resorting to either </w:t>
      </w:r>
      <w:r w:rsidR="00631C6D">
        <w:rPr>
          <w:rFonts w:ascii="Times New Roman" w:hAnsi="Times New Roman" w:cs="Times New Roman"/>
          <w:sz w:val="24"/>
          <w:szCs w:val="24"/>
        </w:rPr>
        <w:t xml:space="preserve">complete </w:t>
      </w:r>
      <w:r w:rsidR="00CF15AA" w:rsidRPr="00162185">
        <w:rPr>
          <w:rFonts w:ascii="Times New Roman" w:hAnsi="Times New Roman" w:cs="Times New Roman"/>
          <w:sz w:val="24"/>
          <w:szCs w:val="24"/>
        </w:rPr>
        <w:t xml:space="preserve">control by </w:t>
      </w:r>
      <w:r w:rsidR="00631C6D">
        <w:rPr>
          <w:rFonts w:ascii="Times New Roman" w:hAnsi="Times New Roman" w:cs="Times New Roman"/>
          <w:sz w:val="24"/>
          <w:szCs w:val="24"/>
        </w:rPr>
        <w:t xml:space="preserve">a </w:t>
      </w:r>
      <w:r w:rsidR="00473355" w:rsidRPr="00162185">
        <w:rPr>
          <w:rFonts w:ascii="Times New Roman" w:hAnsi="Times New Roman" w:cs="Times New Roman"/>
          <w:sz w:val="24"/>
          <w:szCs w:val="24"/>
        </w:rPr>
        <w:t xml:space="preserve">portfolio Ministry or </w:t>
      </w:r>
      <w:r w:rsidR="00CF15AA" w:rsidRPr="00162185">
        <w:rPr>
          <w:rFonts w:ascii="Times New Roman" w:hAnsi="Times New Roman" w:cs="Times New Roman"/>
          <w:sz w:val="24"/>
          <w:szCs w:val="24"/>
        </w:rPr>
        <w:t xml:space="preserve">control by individual </w:t>
      </w:r>
      <w:r w:rsidR="00473355" w:rsidRPr="00162185">
        <w:rPr>
          <w:rFonts w:ascii="Times New Roman" w:hAnsi="Times New Roman" w:cs="Times New Roman"/>
          <w:sz w:val="24"/>
          <w:szCs w:val="24"/>
        </w:rPr>
        <w:t>tribunal</w:t>
      </w:r>
      <w:r w:rsidR="00CF15AA" w:rsidRPr="00162185">
        <w:rPr>
          <w:rFonts w:ascii="Times New Roman" w:hAnsi="Times New Roman" w:cs="Times New Roman"/>
          <w:sz w:val="24"/>
          <w:szCs w:val="24"/>
        </w:rPr>
        <w:t>s</w:t>
      </w:r>
      <w:r w:rsidR="00473355" w:rsidRPr="00162185">
        <w:rPr>
          <w:rFonts w:ascii="Times New Roman" w:hAnsi="Times New Roman" w:cs="Times New Roman"/>
          <w:sz w:val="24"/>
          <w:szCs w:val="24"/>
        </w:rPr>
        <w:t xml:space="preserve">.  </w:t>
      </w:r>
    </w:p>
    <w:p w:rsidR="003031D4" w:rsidRPr="00162185" w:rsidRDefault="008078CD"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lastRenderedPageBreak/>
        <w:t xml:space="preserve">In 2014 </w:t>
      </w:r>
      <w:r w:rsidR="00473355" w:rsidRPr="00162185">
        <w:rPr>
          <w:rFonts w:ascii="Times New Roman" w:hAnsi="Times New Roman" w:cs="Times New Roman"/>
          <w:sz w:val="24"/>
          <w:szCs w:val="24"/>
        </w:rPr>
        <w:t>our</w:t>
      </w:r>
      <w:r w:rsidRPr="00162185">
        <w:rPr>
          <w:rFonts w:ascii="Times New Roman" w:hAnsi="Times New Roman" w:cs="Times New Roman"/>
          <w:sz w:val="24"/>
          <w:szCs w:val="24"/>
        </w:rPr>
        <w:t xml:space="preserve"> </w:t>
      </w:r>
      <w:r w:rsidR="00B15FC0" w:rsidRPr="00162185">
        <w:rPr>
          <w:rFonts w:ascii="Times New Roman" w:hAnsi="Times New Roman" w:cs="Times New Roman"/>
          <w:sz w:val="24"/>
          <w:szCs w:val="24"/>
        </w:rPr>
        <w:t xml:space="preserve">federal </w:t>
      </w:r>
      <w:r w:rsidRPr="00162185">
        <w:rPr>
          <w:rFonts w:ascii="Times New Roman" w:hAnsi="Times New Roman" w:cs="Times New Roman"/>
          <w:sz w:val="24"/>
          <w:szCs w:val="24"/>
        </w:rPr>
        <w:t xml:space="preserve">Parliament enacted the </w:t>
      </w:r>
      <w:r w:rsidR="003E6413" w:rsidRPr="008E0040">
        <w:rPr>
          <w:rFonts w:ascii="Times New Roman" w:hAnsi="Times New Roman" w:cs="Times New Roman"/>
          <w:i/>
          <w:sz w:val="24"/>
          <w:szCs w:val="24"/>
        </w:rPr>
        <w:t>Administrative Tribunals Support Service of Canada</w:t>
      </w:r>
      <w:r w:rsidRPr="008E0040">
        <w:rPr>
          <w:rFonts w:ascii="Times New Roman" w:hAnsi="Times New Roman" w:cs="Times New Roman"/>
          <w:i/>
          <w:sz w:val="24"/>
          <w:szCs w:val="24"/>
        </w:rPr>
        <w:t xml:space="preserve"> Act</w:t>
      </w:r>
      <w:r w:rsidR="003E6413" w:rsidRPr="00162185">
        <w:rPr>
          <w:rFonts w:ascii="Times New Roman" w:hAnsi="Times New Roman" w:cs="Times New Roman"/>
          <w:sz w:val="24"/>
          <w:szCs w:val="24"/>
        </w:rPr>
        <w:t>,</w:t>
      </w:r>
      <w:r w:rsidR="008E0040">
        <w:rPr>
          <w:rFonts w:ascii="Times New Roman" w:hAnsi="Times New Roman" w:cs="Times New Roman"/>
          <w:sz w:val="24"/>
          <w:szCs w:val="24"/>
        </w:rPr>
        <w:t xml:space="preserve"> </w:t>
      </w:r>
      <w:r w:rsidR="008E0040">
        <w:rPr>
          <w:rStyle w:val="FootnoteReference"/>
          <w:rFonts w:ascii="Times New Roman" w:hAnsi="Times New Roman" w:cs="Times New Roman"/>
          <w:sz w:val="24"/>
          <w:szCs w:val="24"/>
        </w:rPr>
        <w:footnoteReference w:id="16"/>
      </w:r>
      <w:r w:rsidR="003E6413" w:rsidRPr="00162185">
        <w:rPr>
          <w:rFonts w:ascii="Times New Roman" w:hAnsi="Times New Roman" w:cs="Times New Roman"/>
          <w:sz w:val="24"/>
          <w:szCs w:val="24"/>
        </w:rPr>
        <w:t xml:space="preserve"> </w:t>
      </w:r>
      <w:r w:rsidR="00473355" w:rsidRPr="00162185">
        <w:rPr>
          <w:rFonts w:ascii="Times New Roman" w:hAnsi="Times New Roman" w:cs="Times New Roman"/>
          <w:sz w:val="24"/>
          <w:szCs w:val="24"/>
        </w:rPr>
        <w:t>which creates</w:t>
      </w:r>
      <w:r w:rsidRPr="00162185">
        <w:rPr>
          <w:rFonts w:ascii="Times New Roman" w:hAnsi="Times New Roman" w:cs="Times New Roman"/>
          <w:sz w:val="24"/>
          <w:szCs w:val="24"/>
        </w:rPr>
        <w:t xml:space="preserve"> </w:t>
      </w:r>
      <w:r w:rsidR="003E6413" w:rsidRPr="00162185">
        <w:rPr>
          <w:rFonts w:ascii="Times New Roman" w:hAnsi="Times New Roman" w:cs="Times New Roman"/>
          <w:sz w:val="24"/>
          <w:szCs w:val="24"/>
        </w:rPr>
        <w:t xml:space="preserve">an agency that has the responsibility of providing support services for 11 federal tribunals ranging from the Canada Industrial Relations Board and the Canadian Human Rights Tribunal to the </w:t>
      </w:r>
      <w:r w:rsidR="00B15FC0" w:rsidRPr="00162185">
        <w:rPr>
          <w:rFonts w:ascii="Times New Roman" w:hAnsi="Times New Roman" w:cs="Times New Roman"/>
          <w:sz w:val="24"/>
          <w:szCs w:val="24"/>
        </w:rPr>
        <w:t>Canadian International Trade Tribunal</w:t>
      </w:r>
      <w:r w:rsidR="00A46461" w:rsidRPr="00162185">
        <w:rPr>
          <w:rFonts w:ascii="Times New Roman" w:hAnsi="Times New Roman" w:cs="Times New Roman"/>
          <w:sz w:val="24"/>
          <w:szCs w:val="24"/>
        </w:rPr>
        <w:t xml:space="preserve"> and the Transportation Appeal Tribunal of Canada</w:t>
      </w:r>
      <w:r w:rsidR="00B15FC0" w:rsidRPr="00162185">
        <w:rPr>
          <w:rFonts w:ascii="Times New Roman" w:hAnsi="Times New Roman" w:cs="Times New Roman"/>
          <w:sz w:val="24"/>
          <w:szCs w:val="24"/>
        </w:rPr>
        <w:t xml:space="preserve">. </w:t>
      </w:r>
      <w:r w:rsidR="00473355" w:rsidRPr="00162185">
        <w:rPr>
          <w:rFonts w:ascii="Times New Roman" w:hAnsi="Times New Roman" w:cs="Times New Roman"/>
          <w:sz w:val="24"/>
          <w:szCs w:val="24"/>
        </w:rPr>
        <w:t xml:space="preserve">The support services </w:t>
      </w:r>
      <w:r w:rsidR="00CF15AA" w:rsidRPr="00162185">
        <w:rPr>
          <w:rFonts w:ascii="Times New Roman" w:hAnsi="Times New Roman" w:cs="Times New Roman"/>
          <w:sz w:val="24"/>
          <w:szCs w:val="24"/>
        </w:rPr>
        <w:t xml:space="preserve">provided </w:t>
      </w:r>
      <w:r w:rsidR="00473355" w:rsidRPr="00162185">
        <w:rPr>
          <w:rFonts w:ascii="Times New Roman" w:hAnsi="Times New Roman" w:cs="Times New Roman"/>
          <w:sz w:val="24"/>
          <w:szCs w:val="24"/>
        </w:rPr>
        <w:t>include the typical “back office functions” (finance, human resources, facilities management, information technology and communications), plus registry services and research and legal advice to help the tribunals carry out their particular mandates.</w:t>
      </w:r>
      <w:r w:rsidR="00105DC7">
        <w:rPr>
          <w:rFonts w:ascii="Times New Roman" w:hAnsi="Times New Roman" w:cs="Times New Roman"/>
          <w:sz w:val="24"/>
          <w:szCs w:val="24"/>
        </w:rPr>
        <w:t xml:space="preserve"> </w:t>
      </w:r>
      <w:r w:rsidR="00105DC7">
        <w:rPr>
          <w:rStyle w:val="FootnoteReference"/>
          <w:rFonts w:ascii="Times New Roman" w:hAnsi="Times New Roman" w:cs="Times New Roman"/>
          <w:sz w:val="24"/>
          <w:szCs w:val="24"/>
        </w:rPr>
        <w:footnoteReference w:id="17"/>
      </w:r>
      <w:r w:rsidR="00473355" w:rsidRPr="00162185">
        <w:rPr>
          <w:rFonts w:ascii="Times New Roman" w:hAnsi="Times New Roman" w:cs="Times New Roman"/>
          <w:sz w:val="24"/>
          <w:szCs w:val="24"/>
        </w:rPr>
        <w:t xml:space="preserve"> The 11 tribunals were not chosen </w:t>
      </w:r>
      <w:r w:rsidR="00A46461" w:rsidRPr="00162185">
        <w:rPr>
          <w:rFonts w:ascii="Times New Roman" w:hAnsi="Times New Roman" w:cs="Times New Roman"/>
          <w:sz w:val="24"/>
          <w:szCs w:val="24"/>
        </w:rPr>
        <w:t>because their mandates overlap but because they are small enough that sharing services would enable them to benefit from economies of scale, and having services provided by an organization that operat</w:t>
      </w:r>
      <w:r w:rsidR="00CF15AA" w:rsidRPr="00162185">
        <w:rPr>
          <w:rFonts w:ascii="Times New Roman" w:hAnsi="Times New Roman" w:cs="Times New Roman"/>
          <w:sz w:val="24"/>
          <w:szCs w:val="24"/>
        </w:rPr>
        <w:t>es</w:t>
      </w:r>
      <w:r w:rsidR="00A46461" w:rsidRPr="00162185">
        <w:rPr>
          <w:rFonts w:ascii="Times New Roman" w:hAnsi="Times New Roman" w:cs="Times New Roman"/>
          <w:sz w:val="24"/>
          <w:szCs w:val="24"/>
        </w:rPr>
        <w:t xml:space="preserve"> at arm’s length from their respective portfolio Ministries was thought to enhance the public perception of their independence. The jury is still out on how well this system will work in practice and I expect that there will be some tension as organizations that have used different systems in the past get used to the idea of using shared systems and facilities. In principle, however, the Service </w:t>
      </w:r>
      <w:r w:rsidR="002C272F" w:rsidRPr="00162185">
        <w:rPr>
          <w:rFonts w:ascii="Times New Roman" w:hAnsi="Times New Roman" w:cs="Times New Roman"/>
          <w:sz w:val="24"/>
          <w:szCs w:val="24"/>
        </w:rPr>
        <w:t xml:space="preserve">offers the potential to provide access to technology and expertise that might not otherwise be available to smaller tribunals that have to make adjudication available to citizens across a vast country and in two official languages. </w:t>
      </w:r>
      <w:r w:rsidR="00A46461" w:rsidRPr="00162185">
        <w:rPr>
          <w:rFonts w:ascii="Times New Roman" w:hAnsi="Times New Roman" w:cs="Times New Roman"/>
          <w:sz w:val="24"/>
          <w:szCs w:val="24"/>
        </w:rPr>
        <w:t xml:space="preserve"> </w:t>
      </w:r>
    </w:p>
    <w:p w:rsidR="002C272F" w:rsidRPr="00162185" w:rsidRDefault="002C272F"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It is interesting to note that the assessment of whether or not a particular tribunal would be included in the group of 11 was essentially pragmatic. For example, our largest federal tribunal, the Immigration and Refugee Board, is not included in the group</w:t>
      </w:r>
      <w:r w:rsidR="004C6C86" w:rsidRPr="00162185">
        <w:rPr>
          <w:rFonts w:ascii="Times New Roman" w:hAnsi="Times New Roman" w:cs="Times New Roman"/>
          <w:sz w:val="24"/>
          <w:szCs w:val="24"/>
        </w:rPr>
        <w:t>. I suspect that this is</w:t>
      </w:r>
      <w:r w:rsidRPr="00162185">
        <w:rPr>
          <w:rFonts w:ascii="Times New Roman" w:hAnsi="Times New Roman" w:cs="Times New Roman"/>
          <w:sz w:val="24"/>
          <w:szCs w:val="24"/>
        </w:rPr>
        <w:t xml:space="preserve"> because it is big enough that it has its own economies of scale and its needs for such things as translation services in many different languages and reports on conditions in refugee producing countries are sufficiently specialized that it makes sense to serve th</w:t>
      </w:r>
      <w:r w:rsidR="00CF15AA" w:rsidRPr="00162185">
        <w:rPr>
          <w:rFonts w:ascii="Times New Roman" w:hAnsi="Times New Roman" w:cs="Times New Roman"/>
          <w:sz w:val="24"/>
          <w:szCs w:val="24"/>
        </w:rPr>
        <w:t>e Board’s administrative support</w:t>
      </w:r>
      <w:r w:rsidRPr="00162185">
        <w:rPr>
          <w:rFonts w:ascii="Times New Roman" w:hAnsi="Times New Roman" w:cs="Times New Roman"/>
          <w:sz w:val="24"/>
          <w:szCs w:val="24"/>
        </w:rPr>
        <w:t xml:space="preserve"> needs by other means.</w:t>
      </w:r>
    </w:p>
    <w:p w:rsidR="00CA089D" w:rsidRPr="00162185" w:rsidRDefault="002822FB"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An</w:t>
      </w:r>
      <w:r w:rsidR="002C272F" w:rsidRPr="00162185">
        <w:rPr>
          <w:rFonts w:ascii="Times New Roman" w:hAnsi="Times New Roman" w:cs="Times New Roman"/>
          <w:sz w:val="24"/>
          <w:szCs w:val="24"/>
        </w:rPr>
        <w:t xml:space="preserve">other </w:t>
      </w:r>
      <w:r w:rsidRPr="00162185">
        <w:rPr>
          <w:rFonts w:ascii="Times New Roman" w:hAnsi="Times New Roman" w:cs="Times New Roman"/>
          <w:sz w:val="24"/>
          <w:szCs w:val="24"/>
        </w:rPr>
        <w:t>approach</w:t>
      </w:r>
      <w:r w:rsidR="002C272F" w:rsidRPr="00162185">
        <w:rPr>
          <w:rFonts w:ascii="Times New Roman" w:hAnsi="Times New Roman" w:cs="Times New Roman"/>
          <w:sz w:val="24"/>
          <w:szCs w:val="24"/>
        </w:rPr>
        <w:t xml:space="preserve"> that may be of interest is the tribunal clustering</w:t>
      </w:r>
      <w:r w:rsidRPr="00162185">
        <w:rPr>
          <w:rFonts w:ascii="Times New Roman" w:hAnsi="Times New Roman" w:cs="Times New Roman"/>
          <w:sz w:val="24"/>
          <w:szCs w:val="24"/>
        </w:rPr>
        <w:t xml:space="preserve"> initiative in the province of Ontario. </w:t>
      </w:r>
      <w:r w:rsidR="00CA089D" w:rsidRPr="00162185">
        <w:rPr>
          <w:rFonts w:ascii="Times New Roman" w:hAnsi="Times New Roman" w:cs="Times New Roman"/>
          <w:sz w:val="24"/>
          <w:szCs w:val="24"/>
        </w:rPr>
        <w:t xml:space="preserve">This approach, which was authorized by the </w:t>
      </w:r>
      <w:r w:rsidR="00CA089D" w:rsidRPr="008E0040">
        <w:rPr>
          <w:rFonts w:ascii="Times New Roman" w:hAnsi="Times New Roman" w:cs="Times New Roman"/>
          <w:i/>
          <w:sz w:val="24"/>
          <w:szCs w:val="24"/>
        </w:rPr>
        <w:t>Adjudicative Tribunals Accountability, Governance and Appointments Act</w:t>
      </w:r>
      <w:r w:rsidR="006D1DF1">
        <w:rPr>
          <w:rFonts w:ascii="Times New Roman" w:hAnsi="Times New Roman" w:cs="Times New Roman"/>
          <w:i/>
          <w:sz w:val="24"/>
          <w:szCs w:val="24"/>
        </w:rPr>
        <w:t>, 2009</w:t>
      </w:r>
      <w:r w:rsidR="00CA089D" w:rsidRPr="00162185">
        <w:rPr>
          <w:rFonts w:ascii="Times New Roman" w:hAnsi="Times New Roman" w:cs="Times New Roman"/>
          <w:sz w:val="24"/>
          <w:szCs w:val="24"/>
        </w:rPr>
        <w:t>,</w:t>
      </w:r>
      <w:r w:rsidR="008E0040">
        <w:rPr>
          <w:rStyle w:val="FootnoteReference"/>
          <w:rFonts w:ascii="Times New Roman" w:hAnsi="Times New Roman" w:cs="Times New Roman"/>
          <w:sz w:val="24"/>
          <w:szCs w:val="24"/>
        </w:rPr>
        <w:footnoteReference w:id="18"/>
      </w:r>
      <w:r w:rsidR="00CA089D" w:rsidRPr="00162185">
        <w:rPr>
          <w:rFonts w:ascii="Times New Roman" w:hAnsi="Times New Roman" w:cs="Times New Roman"/>
          <w:sz w:val="24"/>
          <w:szCs w:val="24"/>
        </w:rPr>
        <w:t xml:space="preserve"> </w:t>
      </w:r>
      <w:r w:rsidR="00CF15AA" w:rsidRPr="00162185">
        <w:rPr>
          <w:rFonts w:ascii="Times New Roman" w:hAnsi="Times New Roman" w:cs="Times New Roman"/>
          <w:sz w:val="24"/>
          <w:szCs w:val="24"/>
        </w:rPr>
        <w:t>is</w:t>
      </w:r>
      <w:r w:rsidR="0041417B" w:rsidRPr="00162185">
        <w:rPr>
          <w:rFonts w:ascii="Times New Roman" w:hAnsi="Times New Roman" w:cs="Times New Roman"/>
          <w:sz w:val="24"/>
          <w:szCs w:val="24"/>
        </w:rPr>
        <w:t xml:space="preserve"> seen as an alternative to consolidati</w:t>
      </w:r>
      <w:r w:rsidR="00CF15AA" w:rsidRPr="00162185">
        <w:rPr>
          <w:rFonts w:ascii="Times New Roman" w:hAnsi="Times New Roman" w:cs="Times New Roman"/>
          <w:sz w:val="24"/>
          <w:szCs w:val="24"/>
        </w:rPr>
        <w:t xml:space="preserve">ng a number of </w:t>
      </w:r>
      <w:r w:rsidR="0041417B" w:rsidRPr="00162185">
        <w:rPr>
          <w:rFonts w:ascii="Times New Roman" w:hAnsi="Times New Roman" w:cs="Times New Roman"/>
          <w:sz w:val="24"/>
          <w:szCs w:val="24"/>
        </w:rPr>
        <w:t xml:space="preserve">tribunals exercising specialized jurisdiction into </w:t>
      </w:r>
      <w:r w:rsidR="00CF15AA" w:rsidRPr="00162185">
        <w:rPr>
          <w:rFonts w:ascii="Times New Roman" w:hAnsi="Times New Roman" w:cs="Times New Roman"/>
          <w:sz w:val="24"/>
          <w:szCs w:val="24"/>
        </w:rPr>
        <w:t xml:space="preserve">one or more </w:t>
      </w:r>
      <w:r w:rsidR="0041417B" w:rsidRPr="00162185">
        <w:rPr>
          <w:rFonts w:ascii="Times New Roman" w:hAnsi="Times New Roman" w:cs="Times New Roman"/>
          <w:sz w:val="24"/>
          <w:szCs w:val="24"/>
        </w:rPr>
        <w:t>“super-tribunals”</w:t>
      </w:r>
      <w:r w:rsidR="00BE6281" w:rsidRPr="00162185">
        <w:rPr>
          <w:rFonts w:ascii="Times New Roman" w:hAnsi="Times New Roman" w:cs="Times New Roman"/>
          <w:sz w:val="24"/>
          <w:szCs w:val="24"/>
        </w:rPr>
        <w:t xml:space="preserve">. The </w:t>
      </w:r>
      <w:r w:rsidR="00BE6281" w:rsidRPr="00695FF8">
        <w:rPr>
          <w:rFonts w:ascii="Times New Roman" w:hAnsi="Times New Roman" w:cs="Times New Roman"/>
          <w:i/>
          <w:sz w:val="24"/>
          <w:szCs w:val="24"/>
        </w:rPr>
        <w:t>Act</w:t>
      </w:r>
      <w:r w:rsidR="00BE6281" w:rsidRPr="00162185">
        <w:rPr>
          <w:rFonts w:ascii="Times New Roman" w:hAnsi="Times New Roman" w:cs="Times New Roman"/>
          <w:sz w:val="24"/>
          <w:szCs w:val="24"/>
        </w:rPr>
        <w:t xml:space="preserve"> empowers the Lieutenant Governor in Council to designate two or more tribunals as </w:t>
      </w:r>
      <w:r w:rsidR="00BE6281" w:rsidRPr="00162185">
        <w:rPr>
          <w:rFonts w:ascii="Times New Roman" w:hAnsi="Times New Roman" w:cs="Times New Roman"/>
          <w:sz w:val="24"/>
          <w:szCs w:val="24"/>
        </w:rPr>
        <w:lastRenderedPageBreak/>
        <w:t xml:space="preserve">a cluster where “the matters the tribunals deal with are such that they can </w:t>
      </w:r>
      <w:r w:rsidR="00651719" w:rsidRPr="00162185">
        <w:rPr>
          <w:rFonts w:ascii="Times New Roman" w:hAnsi="Times New Roman" w:cs="Times New Roman"/>
          <w:sz w:val="24"/>
          <w:szCs w:val="24"/>
        </w:rPr>
        <w:t>operate more effectively and e</w:t>
      </w:r>
      <w:r w:rsidR="00BE6281" w:rsidRPr="00162185">
        <w:rPr>
          <w:rFonts w:ascii="Times New Roman" w:hAnsi="Times New Roman" w:cs="Times New Roman"/>
          <w:sz w:val="24"/>
          <w:szCs w:val="24"/>
        </w:rPr>
        <w:t>fficiently as part of a cluster</w:t>
      </w:r>
      <w:r w:rsidR="00651719" w:rsidRPr="00162185">
        <w:rPr>
          <w:rFonts w:ascii="Times New Roman" w:hAnsi="Times New Roman" w:cs="Times New Roman"/>
          <w:sz w:val="24"/>
          <w:szCs w:val="24"/>
        </w:rPr>
        <w:t xml:space="preserve"> than alone.”</w:t>
      </w:r>
      <w:r w:rsidR="006D1DF1">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19"/>
      </w:r>
      <w:r w:rsidR="00651719" w:rsidRPr="00162185">
        <w:rPr>
          <w:rFonts w:ascii="Times New Roman" w:hAnsi="Times New Roman" w:cs="Times New Roman"/>
          <w:sz w:val="24"/>
          <w:szCs w:val="24"/>
        </w:rPr>
        <w:t xml:space="preserve"> Once a cluster has been designated, an Executive Chair is appointed to be responsible for the governance of all the tribunals in the cluster. To date three clusters have been created:</w:t>
      </w:r>
      <w:r w:rsidR="002C272F" w:rsidRPr="00162185">
        <w:rPr>
          <w:rFonts w:ascii="Times New Roman" w:hAnsi="Times New Roman" w:cs="Times New Roman"/>
          <w:sz w:val="24"/>
          <w:szCs w:val="24"/>
        </w:rPr>
        <w:t xml:space="preserve"> </w:t>
      </w:r>
      <w:r w:rsidR="00651719" w:rsidRPr="00162185">
        <w:rPr>
          <w:rFonts w:ascii="Times New Roman" w:hAnsi="Times New Roman" w:cs="Times New Roman"/>
          <w:sz w:val="24"/>
          <w:szCs w:val="24"/>
        </w:rPr>
        <w:t>(1) t</w:t>
      </w:r>
      <w:r w:rsidR="0041417B" w:rsidRPr="00162185">
        <w:rPr>
          <w:rFonts w:ascii="Times New Roman" w:hAnsi="Times New Roman" w:cs="Times New Roman"/>
          <w:sz w:val="24"/>
          <w:szCs w:val="24"/>
        </w:rPr>
        <w:t xml:space="preserve">he Environmental and Land Tribunals Ontario (a cluster of 5 tribunals dealing with environmental assessment and land use planning issues); </w:t>
      </w:r>
      <w:r w:rsidR="00651719" w:rsidRPr="00162185">
        <w:rPr>
          <w:rFonts w:ascii="Times New Roman" w:hAnsi="Times New Roman" w:cs="Times New Roman"/>
          <w:sz w:val="24"/>
          <w:szCs w:val="24"/>
        </w:rPr>
        <w:t xml:space="preserve">(2) </w:t>
      </w:r>
      <w:r w:rsidR="0041417B" w:rsidRPr="00162185">
        <w:rPr>
          <w:rFonts w:ascii="Times New Roman" w:hAnsi="Times New Roman" w:cs="Times New Roman"/>
          <w:sz w:val="24"/>
          <w:szCs w:val="24"/>
        </w:rPr>
        <w:t xml:space="preserve">the Social Justice Tribunals Ontario (a cluster of 7 tribunals dealing with issues ranging from social assistance to </w:t>
      </w:r>
      <w:r w:rsidR="00E70A69" w:rsidRPr="00162185">
        <w:rPr>
          <w:rFonts w:ascii="Times New Roman" w:hAnsi="Times New Roman" w:cs="Times New Roman"/>
          <w:sz w:val="24"/>
          <w:szCs w:val="24"/>
        </w:rPr>
        <w:t>landlord and tenant disputes to human rights</w:t>
      </w:r>
      <w:r w:rsidR="0041417B" w:rsidRPr="00162185">
        <w:rPr>
          <w:rFonts w:ascii="Times New Roman" w:hAnsi="Times New Roman" w:cs="Times New Roman"/>
          <w:sz w:val="24"/>
          <w:szCs w:val="24"/>
        </w:rPr>
        <w:t>)</w:t>
      </w:r>
      <w:r w:rsidR="00651719" w:rsidRPr="00162185">
        <w:rPr>
          <w:rFonts w:ascii="Times New Roman" w:hAnsi="Times New Roman" w:cs="Times New Roman"/>
          <w:sz w:val="24"/>
          <w:szCs w:val="24"/>
        </w:rPr>
        <w:t>;</w:t>
      </w:r>
      <w:r w:rsidR="0041417B" w:rsidRPr="00162185">
        <w:rPr>
          <w:rFonts w:ascii="Times New Roman" w:hAnsi="Times New Roman" w:cs="Times New Roman"/>
          <w:sz w:val="24"/>
          <w:szCs w:val="24"/>
        </w:rPr>
        <w:t xml:space="preserve"> and </w:t>
      </w:r>
      <w:r w:rsidR="00651719" w:rsidRPr="00162185">
        <w:rPr>
          <w:rFonts w:ascii="Times New Roman" w:hAnsi="Times New Roman" w:cs="Times New Roman"/>
          <w:sz w:val="24"/>
          <w:szCs w:val="24"/>
        </w:rPr>
        <w:t xml:space="preserve">(3) </w:t>
      </w:r>
      <w:r w:rsidR="0041417B" w:rsidRPr="00162185">
        <w:rPr>
          <w:rFonts w:ascii="Times New Roman" w:hAnsi="Times New Roman" w:cs="Times New Roman"/>
          <w:sz w:val="24"/>
          <w:szCs w:val="24"/>
        </w:rPr>
        <w:t>the Safety, Licensing Appeals and Standards Tribunals Ontario (a cluster of 5 tribunals</w:t>
      </w:r>
      <w:r w:rsidR="00E70A69" w:rsidRPr="00162185">
        <w:rPr>
          <w:rFonts w:ascii="Times New Roman" w:hAnsi="Times New Roman" w:cs="Times New Roman"/>
          <w:sz w:val="24"/>
          <w:szCs w:val="24"/>
        </w:rPr>
        <w:t xml:space="preserve"> dealing with issues ranging from animal welfare and fire safety to parole and citizen complaints against the police</w:t>
      </w:r>
      <w:r w:rsidR="00651719" w:rsidRPr="00162185">
        <w:rPr>
          <w:rFonts w:ascii="Times New Roman" w:hAnsi="Times New Roman" w:cs="Times New Roman"/>
          <w:sz w:val="24"/>
          <w:szCs w:val="24"/>
        </w:rPr>
        <w:t>)</w:t>
      </w:r>
      <w:r w:rsidR="00E70A69" w:rsidRPr="00162185">
        <w:rPr>
          <w:rFonts w:ascii="Times New Roman" w:hAnsi="Times New Roman" w:cs="Times New Roman"/>
          <w:sz w:val="24"/>
          <w:szCs w:val="24"/>
        </w:rPr>
        <w:t>.</w:t>
      </w:r>
      <w:r w:rsidR="00651719" w:rsidRPr="00162185">
        <w:rPr>
          <w:rFonts w:ascii="Times New Roman" w:hAnsi="Times New Roman" w:cs="Times New Roman"/>
          <w:sz w:val="24"/>
          <w:szCs w:val="24"/>
        </w:rPr>
        <w:t xml:space="preserve"> The Executive Chair still has to develop a memorandum of understanding with a responsible Minist</w:t>
      </w:r>
      <w:r w:rsidR="00CF15AA" w:rsidRPr="00162185">
        <w:rPr>
          <w:rFonts w:ascii="Times New Roman" w:hAnsi="Times New Roman" w:cs="Times New Roman"/>
          <w:sz w:val="24"/>
          <w:szCs w:val="24"/>
        </w:rPr>
        <w:t>ry</w:t>
      </w:r>
      <w:r w:rsidR="00651719" w:rsidRPr="00162185">
        <w:rPr>
          <w:rFonts w:ascii="Times New Roman" w:hAnsi="Times New Roman" w:cs="Times New Roman"/>
          <w:sz w:val="24"/>
          <w:szCs w:val="24"/>
        </w:rPr>
        <w:t xml:space="preserve"> for the provision of the resources the cluster of tribunals needs to carry out its work, but the thinking is that Ministries are less likely to be influenced in their approach to tribunal resourcing by their happiness or unhappiness with particular tribunal decisions if they are deal</w:t>
      </w:r>
      <w:r w:rsidR="00CF15AA" w:rsidRPr="00162185">
        <w:rPr>
          <w:rFonts w:ascii="Times New Roman" w:hAnsi="Times New Roman" w:cs="Times New Roman"/>
          <w:sz w:val="24"/>
          <w:szCs w:val="24"/>
        </w:rPr>
        <w:t>ing</w:t>
      </w:r>
      <w:r w:rsidR="00651719" w:rsidRPr="00162185">
        <w:rPr>
          <w:rFonts w:ascii="Times New Roman" w:hAnsi="Times New Roman" w:cs="Times New Roman"/>
          <w:sz w:val="24"/>
          <w:szCs w:val="24"/>
        </w:rPr>
        <w:t xml:space="preserve"> with a cluster of tribunals rather than a single tribunal. The cluster not only creates opportunities for efficiencies through the consolidation of “back office” operations (</w:t>
      </w:r>
      <w:r w:rsidR="00C305A6" w:rsidRPr="00162185">
        <w:rPr>
          <w:rFonts w:ascii="Times New Roman" w:hAnsi="Times New Roman" w:cs="Times New Roman"/>
          <w:sz w:val="24"/>
          <w:szCs w:val="24"/>
        </w:rPr>
        <w:t>finance, human resources, information technology etc.) but it also makes it easier for tribunals to provide better service to parties through such things as co-location of facilities, consolidation of proceedings where more than one tribunal potentially has jurisdiction in respect of an issue</w:t>
      </w:r>
      <w:r w:rsidR="00105DC7">
        <w:rPr>
          <w:rFonts w:ascii="Times New Roman" w:hAnsi="Times New Roman" w:cs="Times New Roman"/>
          <w:sz w:val="24"/>
          <w:szCs w:val="24"/>
        </w:rPr>
        <w:t>,</w:t>
      </w:r>
      <w:r w:rsidR="00C305A6" w:rsidRPr="00162185">
        <w:rPr>
          <w:rFonts w:ascii="Times New Roman" w:hAnsi="Times New Roman" w:cs="Times New Roman"/>
          <w:sz w:val="24"/>
          <w:szCs w:val="24"/>
        </w:rPr>
        <w:t xml:space="preserve"> and harmonization of rules and procedures.   </w:t>
      </w:r>
      <w:r w:rsidR="00651719" w:rsidRPr="00162185">
        <w:rPr>
          <w:rFonts w:ascii="Times New Roman" w:hAnsi="Times New Roman" w:cs="Times New Roman"/>
          <w:sz w:val="24"/>
          <w:szCs w:val="24"/>
        </w:rPr>
        <w:t xml:space="preserve"> </w:t>
      </w:r>
      <w:r w:rsidR="0041417B" w:rsidRPr="00162185">
        <w:rPr>
          <w:rFonts w:ascii="Times New Roman" w:hAnsi="Times New Roman" w:cs="Times New Roman"/>
          <w:sz w:val="24"/>
          <w:szCs w:val="24"/>
        </w:rPr>
        <w:t xml:space="preserve"> </w:t>
      </w:r>
    </w:p>
    <w:p w:rsidR="0072773B" w:rsidRPr="00162185" w:rsidRDefault="00C305A6"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One might argue, of course, that the goals of clustering could be better achieved through the consolidation of specialist tribunals. A</w:t>
      </w:r>
      <w:r w:rsidR="00CA089D" w:rsidRPr="00162185">
        <w:rPr>
          <w:rFonts w:ascii="Times New Roman" w:hAnsi="Times New Roman" w:cs="Times New Roman"/>
          <w:sz w:val="24"/>
          <w:szCs w:val="24"/>
        </w:rPr>
        <w:t>ustralia</w:t>
      </w:r>
      <w:r w:rsidRPr="00162185">
        <w:rPr>
          <w:rFonts w:ascii="Times New Roman" w:hAnsi="Times New Roman" w:cs="Times New Roman"/>
          <w:sz w:val="24"/>
          <w:szCs w:val="24"/>
        </w:rPr>
        <w:t xml:space="preserve"> </w:t>
      </w:r>
      <w:r w:rsidR="00CA089D" w:rsidRPr="00162185">
        <w:rPr>
          <w:rFonts w:ascii="Times New Roman" w:hAnsi="Times New Roman" w:cs="Times New Roman"/>
          <w:sz w:val="24"/>
          <w:szCs w:val="24"/>
        </w:rPr>
        <w:t xml:space="preserve">is a leader in tribunal consolidation and I </w:t>
      </w:r>
      <w:r w:rsidRPr="00162185">
        <w:rPr>
          <w:rFonts w:ascii="Times New Roman" w:hAnsi="Times New Roman" w:cs="Times New Roman"/>
          <w:sz w:val="24"/>
          <w:szCs w:val="24"/>
        </w:rPr>
        <w:t xml:space="preserve">understand that </w:t>
      </w:r>
      <w:r w:rsidR="0072773B" w:rsidRPr="00162185">
        <w:rPr>
          <w:rFonts w:ascii="Times New Roman" w:hAnsi="Times New Roman" w:cs="Times New Roman"/>
          <w:sz w:val="24"/>
          <w:szCs w:val="24"/>
        </w:rPr>
        <w:t xml:space="preserve">the </w:t>
      </w:r>
      <w:r w:rsidR="00761484" w:rsidRPr="00162185">
        <w:rPr>
          <w:rFonts w:ascii="Times New Roman" w:hAnsi="Times New Roman" w:cs="Times New Roman"/>
          <w:sz w:val="24"/>
          <w:szCs w:val="24"/>
        </w:rPr>
        <w:t xml:space="preserve">new </w:t>
      </w:r>
      <w:r w:rsidR="0072773B" w:rsidRPr="00162185">
        <w:rPr>
          <w:rFonts w:ascii="Times New Roman" w:hAnsi="Times New Roman" w:cs="Times New Roman"/>
          <w:sz w:val="24"/>
          <w:szCs w:val="24"/>
        </w:rPr>
        <w:t xml:space="preserve">South Australia Civil and Administrative Tribunal </w:t>
      </w:r>
      <w:r w:rsidR="00761484" w:rsidRPr="00162185">
        <w:rPr>
          <w:rFonts w:ascii="Times New Roman" w:hAnsi="Times New Roman" w:cs="Times New Roman"/>
          <w:sz w:val="24"/>
          <w:szCs w:val="24"/>
        </w:rPr>
        <w:t>is an example of this type of consolidation</w:t>
      </w:r>
      <w:r w:rsidR="0072773B" w:rsidRPr="00162185">
        <w:rPr>
          <w:rFonts w:ascii="Times New Roman" w:hAnsi="Times New Roman" w:cs="Times New Roman"/>
          <w:sz w:val="24"/>
          <w:szCs w:val="24"/>
        </w:rPr>
        <w:t>.</w:t>
      </w:r>
      <w:r w:rsidR="004C6C86" w:rsidRPr="00162185">
        <w:rPr>
          <w:rFonts w:ascii="Times New Roman" w:hAnsi="Times New Roman" w:cs="Times New Roman"/>
          <w:sz w:val="24"/>
          <w:szCs w:val="24"/>
        </w:rPr>
        <w:t xml:space="preserve"> I think it is interesting to consider whether tribunal consolidation or clustering or central provision of resources to specialized tribunals is the best way to </w:t>
      </w:r>
      <w:r w:rsidR="00761484" w:rsidRPr="00162185">
        <w:rPr>
          <w:rFonts w:ascii="Times New Roman" w:hAnsi="Times New Roman" w:cs="Times New Roman"/>
          <w:sz w:val="24"/>
          <w:szCs w:val="24"/>
        </w:rPr>
        <w:t>ensuring that tribunals get the administrative support they need</w:t>
      </w:r>
      <w:r w:rsidR="004C6C86" w:rsidRPr="00162185">
        <w:rPr>
          <w:rFonts w:ascii="Times New Roman" w:hAnsi="Times New Roman" w:cs="Times New Roman"/>
          <w:sz w:val="24"/>
          <w:szCs w:val="24"/>
        </w:rPr>
        <w:t xml:space="preserve">, but I am not sure that we should necessarily see every tribunal having control over its own resources as the “gold standard” for administrative independence.   </w:t>
      </w:r>
      <w:r w:rsidR="0072773B" w:rsidRPr="00162185">
        <w:rPr>
          <w:rFonts w:ascii="Times New Roman" w:hAnsi="Times New Roman" w:cs="Times New Roman"/>
          <w:sz w:val="24"/>
          <w:szCs w:val="24"/>
        </w:rPr>
        <w:t xml:space="preserve"> </w:t>
      </w:r>
    </w:p>
    <w:p w:rsidR="0072773B" w:rsidRPr="00162185" w:rsidRDefault="0072773B"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My point here is not to suggest that the Report is wrong to be concerned about the threat to independence that arises when a tribunal is dependent for the resources it needs to operate on a portfolio Ministry whose decisions it reviews. What I would s</w:t>
      </w:r>
      <w:r w:rsidR="004C6C86" w:rsidRPr="00162185">
        <w:rPr>
          <w:rFonts w:ascii="Times New Roman" w:hAnsi="Times New Roman" w:cs="Times New Roman"/>
          <w:sz w:val="24"/>
          <w:szCs w:val="24"/>
        </w:rPr>
        <w:t>ay</w:t>
      </w:r>
      <w:r w:rsidRPr="00162185">
        <w:rPr>
          <w:rFonts w:ascii="Times New Roman" w:hAnsi="Times New Roman" w:cs="Times New Roman"/>
          <w:sz w:val="24"/>
          <w:szCs w:val="24"/>
        </w:rPr>
        <w:t xml:space="preserve"> is that there is a balance to </w:t>
      </w:r>
      <w:r w:rsidRPr="00162185">
        <w:rPr>
          <w:rFonts w:ascii="Times New Roman" w:hAnsi="Times New Roman" w:cs="Times New Roman"/>
          <w:sz w:val="24"/>
          <w:szCs w:val="24"/>
        </w:rPr>
        <w:lastRenderedPageBreak/>
        <w:t xml:space="preserve">be achieved between </w:t>
      </w:r>
      <w:r w:rsidR="004C6C86" w:rsidRPr="00162185">
        <w:rPr>
          <w:rFonts w:ascii="Times New Roman" w:hAnsi="Times New Roman" w:cs="Times New Roman"/>
          <w:sz w:val="24"/>
          <w:szCs w:val="24"/>
        </w:rPr>
        <w:t>administrative</w:t>
      </w:r>
      <w:r w:rsidRPr="00162185">
        <w:rPr>
          <w:rFonts w:ascii="Times New Roman" w:hAnsi="Times New Roman" w:cs="Times New Roman"/>
          <w:sz w:val="24"/>
          <w:szCs w:val="24"/>
        </w:rPr>
        <w:t xml:space="preserve"> independence and the efficient and effective provision of the </w:t>
      </w:r>
      <w:r w:rsidR="00761484" w:rsidRPr="00162185">
        <w:rPr>
          <w:rFonts w:ascii="Times New Roman" w:hAnsi="Times New Roman" w:cs="Times New Roman"/>
          <w:sz w:val="24"/>
          <w:szCs w:val="24"/>
        </w:rPr>
        <w:t xml:space="preserve">administrative support </w:t>
      </w:r>
      <w:r w:rsidRPr="00162185">
        <w:rPr>
          <w:rFonts w:ascii="Times New Roman" w:hAnsi="Times New Roman" w:cs="Times New Roman"/>
          <w:sz w:val="24"/>
          <w:szCs w:val="24"/>
        </w:rPr>
        <w:t xml:space="preserve">tribunals </w:t>
      </w:r>
      <w:r w:rsidR="00761484" w:rsidRPr="00162185">
        <w:rPr>
          <w:rFonts w:ascii="Times New Roman" w:hAnsi="Times New Roman" w:cs="Times New Roman"/>
          <w:sz w:val="24"/>
          <w:szCs w:val="24"/>
        </w:rPr>
        <w:t>require</w:t>
      </w:r>
      <w:r w:rsidRPr="00162185">
        <w:rPr>
          <w:rFonts w:ascii="Times New Roman" w:hAnsi="Times New Roman" w:cs="Times New Roman"/>
          <w:sz w:val="24"/>
          <w:szCs w:val="24"/>
        </w:rPr>
        <w:t xml:space="preserve"> to perform their adjudicative functions.    </w:t>
      </w:r>
    </w:p>
    <w:p w:rsidR="008A1EA1" w:rsidRPr="006D1DF1" w:rsidRDefault="008A1EA1" w:rsidP="00162185">
      <w:pPr>
        <w:spacing w:line="360" w:lineRule="auto"/>
        <w:jc w:val="both"/>
        <w:rPr>
          <w:rFonts w:ascii="Times New Roman" w:hAnsi="Times New Roman" w:cs="Times New Roman"/>
          <w:b/>
          <w:sz w:val="24"/>
          <w:szCs w:val="24"/>
        </w:rPr>
      </w:pPr>
      <w:r w:rsidRPr="006D1DF1">
        <w:rPr>
          <w:rFonts w:ascii="Times New Roman" w:hAnsi="Times New Roman" w:cs="Times New Roman"/>
          <w:b/>
          <w:sz w:val="24"/>
          <w:szCs w:val="24"/>
        </w:rPr>
        <w:t>Institutional Independence: Appointments</w:t>
      </w:r>
      <w:r w:rsidR="00890002" w:rsidRPr="006D1DF1">
        <w:rPr>
          <w:rFonts w:ascii="Times New Roman" w:hAnsi="Times New Roman" w:cs="Times New Roman"/>
          <w:b/>
          <w:sz w:val="24"/>
          <w:szCs w:val="24"/>
        </w:rPr>
        <w:t>, Security of Tenure and Remuneration</w:t>
      </w:r>
    </w:p>
    <w:p w:rsidR="008C5EEF" w:rsidRPr="00162185" w:rsidRDefault="00FD14E8"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Not surprisingly, appointment systems and security of tenure and remuneration play a central role in the Report. The Report notes that tribunal membership in Australia and New Zealand </w:t>
      </w:r>
      <w:r w:rsidR="00761484" w:rsidRPr="00162185">
        <w:rPr>
          <w:rFonts w:ascii="Times New Roman" w:hAnsi="Times New Roman" w:cs="Times New Roman"/>
          <w:sz w:val="24"/>
          <w:szCs w:val="24"/>
        </w:rPr>
        <w:t>is</w:t>
      </w:r>
      <w:r w:rsidRPr="00162185">
        <w:rPr>
          <w:rFonts w:ascii="Times New Roman" w:hAnsi="Times New Roman" w:cs="Times New Roman"/>
          <w:sz w:val="24"/>
          <w:szCs w:val="24"/>
        </w:rPr>
        <w:t xml:space="preserve"> in transition from a community service model to a career model, and this has implications both </w:t>
      </w:r>
      <w:r w:rsidR="002352DD" w:rsidRPr="00162185">
        <w:rPr>
          <w:rFonts w:ascii="Times New Roman" w:hAnsi="Times New Roman" w:cs="Times New Roman"/>
          <w:sz w:val="24"/>
          <w:szCs w:val="24"/>
        </w:rPr>
        <w:t xml:space="preserve">for </w:t>
      </w:r>
      <w:r w:rsidRPr="00162185">
        <w:rPr>
          <w:rFonts w:ascii="Times New Roman" w:hAnsi="Times New Roman" w:cs="Times New Roman"/>
          <w:sz w:val="24"/>
          <w:szCs w:val="24"/>
        </w:rPr>
        <w:t>the arrangements made for appointing members and for the</w:t>
      </w:r>
      <w:r w:rsidR="002352DD" w:rsidRPr="00162185">
        <w:rPr>
          <w:rFonts w:ascii="Times New Roman" w:hAnsi="Times New Roman" w:cs="Times New Roman"/>
          <w:sz w:val="24"/>
          <w:szCs w:val="24"/>
        </w:rPr>
        <w:t xml:space="preserve"> structure of </w:t>
      </w:r>
      <w:r w:rsidR="00761484" w:rsidRPr="00162185">
        <w:rPr>
          <w:rFonts w:ascii="Times New Roman" w:hAnsi="Times New Roman" w:cs="Times New Roman"/>
          <w:sz w:val="24"/>
          <w:szCs w:val="24"/>
        </w:rPr>
        <w:t xml:space="preserve">their </w:t>
      </w:r>
      <w:r w:rsidR="002352DD" w:rsidRPr="00162185">
        <w:rPr>
          <w:rFonts w:ascii="Times New Roman" w:hAnsi="Times New Roman" w:cs="Times New Roman"/>
          <w:sz w:val="24"/>
          <w:szCs w:val="24"/>
        </w:rPr>
        <w:t>appointments.</w:t>
      </w:r>
      <w:r w:rsidRPr="00162185">
        <w:rPr>
          <w:rFonts w:ascii="Times New Roman" w:hAnsi="Times New Roman" w:cs="Times New Roman"/>
          <w:sz w:val="24"/>
          <w:szCs w:val="24"/>
        </w:rPr>
        <w:t xml:space="preserve"> The Report </w:t>
      </w:r>
      <w:r w:rsidR="002352DD" w:rsidRPr="00162185">
        <w:rPr>
          <w:rFonts w:ascii="Times New Roman" w:hAnsi="Times New Roman" w:cs="Times New Roman"/>
          <w:sz w:val="24"/>
          <w:szCs w:val="24"/>
        </w:rPr>
        <w:t>observes</w:t>
      </w:r>
      <w:r w:rsidRPr="00162185">
        <w:rPr>
          <w:rFonts w:ascii="Times New Roman" w:hAnsi="Times New Roman" w:cs="Times New Roman"/>
          <w:sz w:val="24"/>
          <w:szCs w:val="24"/>
        </w:rPr>
        <w:t xml:space="preserve"> that there are various stages to the appointment process, and even if political actors are ultimately responsible for the </w:t>
      </w:r>
      <w:r w:rsidR="00761484" w:rsidRPr="00162185">
        <w:rPr>
          <w:rFonts w:ascii="Times New Roman" w:hAnsi="Times New Roman" w:cs="Times New Roman"/>
          <w:sz w:val="24"/>
          <w:szCs w:val="24"/>
        </w:rPr>
        <w:t xml:space="preserve">decision to </w:t>
      </w:r>
      <w:r w:rsidRPr="00162185">
        <w:rPr>
          <w:rFonts w:ascii="Times New Roman" w:hAnsi="Times New Roman" w:cs="Times New Roman"/>
          <w:sz w:val="24"/>
          <w:szCs w:val="24"/>
        </w:rPr>
        <w:t>appoint</w:t>
      </w:r>
      <w:r w:rsidR="00761484" w:rsidRPr="00162185">
        <w:rPr>
          <w:rFonts w:ascii="Times New Roman" w:hAnsi="Times New Roman" w:cs="Times New Roman"/>
          <w:sz w:val="24"/>
          <w:szCs w:val="24"/>
        </w:rPr>
        <w:t xml:space="preserve"> a particular individual, </w:t>
      </w:r>
      <w:r w:rsidR="008C5EEF" w:rsidRPr="00162185">
        <w:rPr>
          <w:rFonts w:ascii="Times New Roman" w:hAnsi="Times New Roman" w:cs="Times New Roman"/>
          <w:sz w:val="24"/>
          <w:szCs w:val="24"/>
        </w:rPr>
        <w:t xml:space="preserve">different mechanisms </w:t>
      </w:r>
      <w:r w:rsidR="002352DD" w:rsidRPr="00162185">
        <w:rPr>
          <w:rFonts w:ascii="Times New Roman" w:hAnsi="Times New Roman" w:cs="Times New Roman"/>
          <w:sz w:val="24"/>
          <w:szCs w:val="24"/>
        </w:rPr>
        <w:t xml:space="preserve">can be </w:t>
      </w:r>
      <w:r w:rsidR="008C5EEF" w:rsidRPr="00162185">
        <w:rPr>
          <w:rFonts w:ascii="Times New Roman" w:hAnsi="Times New Roman" w:cs="Times New Roman"/>
          <w:sz w:val="24"/>
          <w:szCs w:val="24"/>
        </w:rPr>
        <w:t xml:space="preserve">put in place to ensure that candidates have </w:t>
      </w:r>
      <w:r w:rsidR="00761484" w:rsidRPr="00162185">
        <w:rPr>
          <w:rFonts w:ascii="Times New Roman" w:hAnsi="Times New Roman" w:cs="Times New Roman"/>
          <w:sz w:val="24"/>
          <w:szCs w:val="24"/>
        </w:rPr>
        <w:t xml:space="preserve">a fair chance to be considered and that those who are ultimately chosen have </w:t>
      </w:r>
      <w:r w:rsidR="008C5EEF" w:rsidRPr="00162185">
        <w:rPr>
          <w:rFonts w:ascii="Times New Roman" w:hAnsi="Times New Roman" w:cs="Times New Roman"/>
          <w:sz w:val="24"/>
          <w:szCs w:val="24"/>
        </w:rPr>
        <w:t>appropriate qualifications. Likewise, the Report recognizes that considerations such as diversity may have an appropriate role in the selection of appointees from a pool of candidates who satisfy technical qualifications</w:t>
      </w:r>
      <w:r w:rsidR="002352DD" w:rsidRPr="00162185">
        <w:rPr>
          <w:rFonts w:ascii="Times New Roman" w:hAnsi="Times New Roman" w:cs="Times New Roman"/>
          <w:sz w:val="24"/>
          <w:szCs w:val="24"/>
        </w:rPr>
        <w:t>, though there is some question as to who is best suited to addressing those considerations</w:t>
      </w:r>
      <w:r w:rsidR="008C5EEF" w:rsidRPr="00162185">
        <w:rPr>
          <w:rFonts w:ascii="Times New Roman" w:hAnsi="Times New Roman" w:cs="Times New Roman"/>
          <w:sz w:val="24"/>
          <w:szCs w:val="24"/>
        </w:rPr>
        <w:t xml:space="preserve">. </w:t>
      </w:r>
    </w:p>
    <w:p w:rsidR="008C5EEF" w:rsidRPr="00162185" w:rsidRDefault="00234796"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Report indicates that there is little support for working lifetime tenure for tribunal members </w:t>
      </w:r>
      <w:r w:rsidR="00B002D6" w:rsidRPr="00162185">
        <w:rPr>
          <w:rFonts w:ascii="Times New Roman" w:hAnsi="Times New Roman" w:cs="Times New Roman"/>
          <w:sz w:val="24"/>
          <w:szCs w:val="24"/>
        </w:rPr>
        <w:t xml:space="preserve">in Australia and New Zealand </w:t>
      </w:r>
      <w:r w:rsidRPr="00162185">
        <w:rPr>
          <w:rFonts w:ascii="Times New Roman" w:hAnsi="Times New Roman" w:cs="Times New Roman"/>
          <w:sz w:val="24"/>
          <w:szCs w:val="24"/>
        </w:rPr>
        <w:t xml:space="preserve">and </w:t>
      </w:r>
      <w:r w:rsidR="002352DD" w:rsidRPr="00162185">
        <w:rPr>
          <w:rFonts w:ascii="Times New Roman" w:hAnsi="Times New Roman" w:cs="Times New Roman"/>
          <w:sz w:val="24"/>
          <w:szCs w:val="24"/>
        </w:rPr>
        <w:t xml:space="preserve">that </w:t>
      </w:r>
      <w:r w:rsidRPr="00162185">
        <w:rPr>
          <w:rFonts w:ascii="Times New Roman" w:hAnsi="Times New Roman" w:cs="Times New Roman"/>
          <w:sz w:val="24"/>
          <w:szCs w:val="24"/>
        </w:rPr>
        <w:t xml:space="preserve">the </w:t>
      </w:r>
      <w:r w:rsidR="00B002D6" w:rsidRPr="00162185">
        <w:rPr>
          <w:rFonts w:ascii="Times New Roman" w:hAnsi="Times New Roman" w:cs="Times New Roman"/>
          <w:sz w:val="24"/>
          <w:szCs w:val="24"/>
        </w:rPr>
        <w:t xml:space="preserve">Canadian and Australian </w:t>
      </w:r>
      <w:r w:rsidRPr="00162185">
        <w:rPr>
          <w:rFonts w:ascii="Times New Roman" w:hAnsi="Times New Roman" w:cs="Times New Roman"/>
          <w:sz w:val="24"/>
          <w:szCs w:val="24"/>
        </w:rPr>
        <w:t xml:space="preserve">jurisprudence suggests that term appointments can satisfy </w:t>
      </w:r>
      <w:r w:rsidR="00B002D6" w:rsidRPr="00162185">
        <w:rPr>
          <w:rFonts w:ascii="Times New Roman" w:hAnsi="Times New Roman" w:cs="Times New Roman"/>
          <w:sz w:val="24"/>
          <w:szCs w:val="24"/>
        </w:rPr>
        <w:t xml:space="preserve">constitutional requirements of judicial </w:t>
      </w:r>
      <w:r w:rsidRPr="00162185">
        <w:rPr>
          <w:rFonts w:ascii="Times New Roman" w:hAnsi="Times New Roman" w:cs="Times New Roman"/>
          <w:sz w:val="24"/>
          <w:szCs w:val="24"/>
        </w:rPr>
        <w:t>independence. There are</w:t>
      </w:r>
      <w:r w:rsidR="00B002D6" w:rsidRPr="00162185">
        <w:rPr>
          <w:rFonts w:ascii="Times New Roman" w:hAnsi="Times New Roman" w:cs="Times New Roman"/>
          <w:sz w:val="24"/>
          <w:szCs w:val="24"/>
        </w:rPr>
        <w:t xml:space="preserve">, nevertheless, </w:t>
      </w:r>
      <w:r w:rsidRPr="00162185">
        <w:rPr>
          <w:rFonts w:ascii="Times New Roman" w:hAnsi="Times New Roman" w:cs="Times New Roman"/>
          <w:sz w:val="24"/>
          <w:szCs w:val="24"/>
        </w:rPr>
        <w:t xml:space="preserve">issues around reappointment where tribunal members are attempting to string together a number of term appointments </w:t>
      </w:r>
      <w:r w:rsidR="00B002D6" w:rsidRPr="00162185">
        <w:rPr>
          <w:rFonts w:ascii="Times New Roman" w:hAnsi="Times New Roman" w:cs="Times New Roman"/>
          <w:sz w:val="24"/>
          <w:szCs w:val="24"/>
        </w:rPr>
        <w:t xml:space="preserve">in order </w:t>
      </w:r>
      <w:r w:rsidRPr="00162185">
        <w:rPr>
          <w:rFonts w:ascii="Times New Roman" w:hAnsi="Times New Roman" w:cs="Times New Roman"/>
          <w:sz w:val="24"/>
          <w:szCs w:val="24"/>
        </w:rPr>
        <w:t>to build a career. Even where there are merit</w:t>
      </w:r>
      <w:r w:rsidR="00272633">
        <w:rPr>
          <w:rFonts w:ascii="Times New Roman" w:hAnsi="Times New Roman" w:cs="Times New Roman"/>
          <w:sz w:val="24"/>
          <w:szCs w:val="24"/>
        </w:rPr>
        <w:t>-</w:t>
      </w:r>
      <w:r w:rsidRPr="00162185">
        <w:rPr>
          <w:rFonts w:ascii="Times New Roman" w:hAnsi="Times New Roman" w:cs="Times New Roman"/>
          <w:sz w:val="24"/>
          <w:szCs w:val="24"/>
        </w:rPr>
        <w:t>based systems for appointment</w:t>
      </w:r>
      <w:r w:rsidR="00B002D6" w:rsidRPr="00162185">
        <w:rPr>
          <w:rFonts w:ascii="Times New Roman" w:hAnsi="Times New Roman" w:cs="Times New Roman"/>
          <w:sz w:val="24"/>
          <w:szCs w:val="24"/>
        </w:rPr>
        <w:t>,</w:t>
      </w:r>
      <w:r w:rsidRPr="00162185">
        <w:rPr>
          <w:rFonts w:ascii="Times New Roman" w:hAnsi="Times New Roman" w:cs="Times New Roman"/>
          <w:sz w:val="24"/>
          <w:szCs w:val="24"/>
        </w:rPr>
        <w:t xml:space="preserve"> reappointment decisions are often opaque and members </w:t>
      </w:r>
      <w:r w:rsidR="00C0565F">
        <w:rPr>
          <w:rFonts w:ascii="Times New Roman" w:hAnsi="Times New Roman" w:cs="Times New Roman"/>
          <w:sz w:val="24"/>
          <w:szCs w:val="24"/>
        </w:rPr>
        <w:t xml:space="preserve">and tribunals </w:t>
      </w:r>
      <w:r w:rsidRPr="00162185">
        <w:rPr>
          <w:rFonts w:ascii="Times New Roman" w:hAnsi="Times New Roman" w:cs="Times New Roman"/>
          <w:sz w:val="24"/>
          <w:szCs w:val="24"/>
        </w:rPr>
        <w:t xml:space="preserve">are </w:t>
      </w:r>
      <w:r w:rsidR="002352DD" w:rsidRPr="00162185">
        <w:rPr>
          <w:rFonts w:ascii="Times New Roman" w:hAnsi="Times New Roman" w:cs="Times New Roman"/>
          <w:sz w:val="24"/>
          <w:szCs w:val="24"/>
        </w:rPr>
        <w:t>sometimes</w:t>
      </w:r>
      <w:r w:rsidRPr="00162185">
        <w:rPr>
          <w:rFonts w:ascii="Times New Roman" w:hAnsi="Times New Roman" w:cs="Times New Roman"/>
          <w:sz w:val="24"/>
          <w:szCs w:val="24"/>
        </w:rPr>
        <w:t xml:space="preserve"> given insufficient notice with respect to reappointment. The Report</w:t>
      </w:r>
      <w:r w:rsidR="00B002D6" w:rsidRPr="00162185">
        <w:rPr>
          <w:rFonts w:ascii="Times New Roman" w:hAnsi="Times New Roman" w:cs="Times New Roman"/>
          <w:sz w:val="24"/>
          <w:szCs w:val="24"/>
        </w:rPr>
        <w:t xml:space="preserve"> also</w:t>
      </w:r>
      <w:r w:rsidRPr="00162185">
        <w:rPr>
          <w:rFonts w:ascii="Times New Roman" w:hAnsi="Times New Roman" w:cs="Times New Roman"/>
          <w:sz w:val="24"/>
          <w:szCs w:val="24"/>
        </w:rPr>
        <w:t xml:space="preserve"> suggests that that in order to have reappointment systems that are merit</w:t>
      </w:r>
      <w:r w:rsidR="00272633">
        <w:rPr>
          <w:rFonts w:ascii="Times New Roman" w:hAnsi="Times New Roman" w:cs="Times New Roman"/>
          <w:sz w:val="24"/>
          <w:szCs w:val="24"/>
        </w:rPr>
        <w:t>-</w:t>
      </w:r>
      <w:r w:rsidRPr="00162185">
        <w:rPr>
          <w:rFonts w:ascii="Times New Roman" w:hAnsi="Times New Roman" w:cs="Times New Roman"/>
          <w:sz w:val="24"/>
          <w:szCs w:val="24"/>
        </w:rPr>
        <w:t>based</w:t>
      </w:r>
      <w:r w:rsidR="002352DD" w:rsidRPr="00162185">
        <w:rPr>
          <w:rFonts w:ascii="Times New Roman" w:hAnsi="Times New Roman" w:cs="Times New Roman"/>
          <w:sz w:val="24"/>
          <w:szCs w:val="24"/>
        </w:rPr>
        <w:t>,</w:t>
      </w:r>
      <w:r w:rsidRPr="00162185">
        <w:rPr>
          <w:rFonts w:ascii="Times New Roman" w:hAnsi="Times New Roman" w:cs="Times New Roman"/>
          <w:sz w:val="24"/>
          <w:szCs w:val="24"/>
        </w:rPr>
        <w:t xml:space="preserve"> tribunals need to have</w:t>
      </w:r>
      <w:r w:rsidR="00B002D6" w:rsidRPr="00162185">
        <w:rPr>
          <w:rFonts w:ascii="Times New Roman" w:hAnsi="Times New Roman" w:cs="Times New Roman"/>
          <w:sz w:val="24"/>
          <w:szCs w:val="24"/>
        </w:rPr>
        <w:t xml:space="preserve"> performance standards, systems of performance evaluation, and opportunities for members to improve their skills through continuing education.  </w:t>
      </w:r>
      <w:r w:rsidRPr="00162185">
        <w:rPr>
          <w:rFonts w:ascii="Times New Roman" w:hAnsi="Times New Roman" w:cs="Times New Roman"/>
          <w:sz w:val="24"/>
          <w:szCs w:val="24"/>
        </w:rPr>
        <w:t xml:space="preserve">   </w:t>
      </w:r>
    </w:p>
    <w:p w:rsidR="00B002D6" w:rsidRPr="00162185" w:rsidRDefault="008C5EEF"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The Report devotes relatively li</w:t>
      </w:r>
      <w:r w:rsidR="00B002D6" w:rsidRPr="00162185">
        <w:rPr>
          <w:rFonts w:ascii="Times New Roman" w:hAnsi="Times New Roman" w:cs="Times New Roman"/>
          <w:sz w:val="24"/>
          <w:szCs w:val="24"/>
        </w:rPr>
        <w:t xml:space="preserve">ttle space to </w:t>
      </w:r>
      <w:r w:rsidRPr="00162185">
        <w:rPr>
          <w:rFonts w:ascii="Times New Roman" w:hAnsi="Times New Roman" w:cs="Times New Roman"/>
          <w:sz w:val="24"/>
          <w:szCs w:val="24"/>
        </w:rPr>
        <w:t>security of remuneration</w:t>
      </w:r>
      <w:r w:rsidR="00B002D6" w:rsidRPr="00162185">
        <w:rPr>
          <w:rFonts w:ascii="Times New Roman" w:hAnsi="Times New Roman" w:cs="Times New Roman"/>
          <w:sz w:val="24"/>
          <w:szCs w:val="24"/>
        </w:rPr>
        <w:t>, and the main focus is on the different systems used to set remuneration and the question of whether there should be a statutory restriction on reduction of remuneration during the term of a member’s appointment</w:t>
      </w:r>
      <w:r w:rsidRPr="00162185">
        <w:rPr>
          <w:rFonts w:ascii="Times New Roman" w:hAnsi="Times New Roman" w:cs="Times New Roman"/>
          <w:sz w:val="24"/>
          <w:szCs w:val="24"/>
        </w:rPr>
        <w:t>.</w:t>
      </w:r>
    </w:p>
    <w:p w:rsidR="000E21EB" w:rsidRPr="00162185" w:rsidRDefault="00C0565F" w:rsidP="0016218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I indicated above, </w:t>
      </w:r>
      <w:r w:rsidR="00B002D6" w:rsidRPr="00162185">
        <w:rPr>
          <w:rFonts w:ascii="Times New Roman" w:hAnsi="Times New Roman" w:cs="Times New Roman"/>
          <w:sz w:val="24"/>
          <w:szCs w:val="24"/>
        </w:rPr>
        <w:t xml:space="preserve">I think it is fair to say that in Canada, progress from the </w:t>
      </w:r>
      <w:r w:rsidR="00761484" w:rsidRPr="00162185">
        <w:rPr>
          <w:rFonts w:ascii="Times New Roman" w:hAnsi="Times New Roman" w:cs="Times New Roman"/>
          <w:sz w:val="24"/>
          <w:szCs w:val="24"/>
        </w:rPr>
        <w:t>community</w:t>
      </w:r>
      <w:r w:rsidR="00B002D6" w:rsidRPr="00162185">
        <w:rPr>
          <w:rFonts w:ascii="Times New Roman" w:hAnsi="Times New Roman" w:cs="Times New Roman"/>
          <w:sz w:val="24"/>
          <w:szCs w:val="24"/>
        </w:rPr>
        <w:t xml:space="preserve"> service model of tribunal membership to the career model is very uneven. Smaller jurisdictions such as the four Atlantic </w:t>
      </w:r>
      <w:proofErr w:type="gramStart"/>
      <w:r w:rsidR="00B002D6" w:rsidRPr="00162185">
        <w:rPr>
          <w:rFonts w:ascii="Times New Roman" w:hAnsi="Times New Roman" w:cs="Times New Roman"/>
          <w:sz w:val="24"/>
          <w:szCs w:val="24"/>
        </w:rPr>
        <w:t>provinces</w:t>
      </w:r>
      <w:proofErr w:type="gramEnd"/>
      <w:r w:rsidR="00B002D6" w:rsidRPr="00162185">
        <w:rPr>
          <w:rFonts w:ascii="Times New Roman" w:hAnsi="Times New Roman" w:cs="Times New Roman"/>
          <w:sz w:val="24"/>
          <w:szCs w:val="24"/>
        </w:rPr>
        <w:t xml:space="preserve"> tend to retain the </w:t>
      </w:r>
      <w:r w:rsidR="00761484" w:rsidRPr="00162185">
        <w:rPr>
          <w:rFonts w:ascii="Times New Roman" w:hAnsi="Times New Roman" w:cs="Times New Roman"/>
          <w:sz w:val="24"/>
          <w:szCs w:val="24"/>
        </w:rPr>
        <w:t>community</w:t>
      </w:r>
      <w:r w:rsidR="00B002D6" w:rsidRPr="00162185">
        <w:rPr>
          <w:rFonts w:ascii="Times New Roman" w:hAnsi="Times New Roman" w:cs="Times New Roman"/>
          <w:sz w:val="24"/>
          <w:szCs w:val="24"/>
        </w:rPr>
        <w:t xml:space="preserve"> service model, with most tribunals heavily reliant on part-time adjudicators who are paid on a per diem basis. Quebec</w:t>
      </w:r>
      <w:r w:rsidR="000E21EB" w:rsidRPr="00162185">
        <w:rPr>
          <w:rFonts w:ascii="Times New Roman" w:hAnsi="Times New Roman" w:cs="Times New Roman"/>
          <w:sz w:val="24"/>
          <w:szCs w:val="24"/>
        </w:rPr>
        <w:t>, on the other hand, has moved fairly far down the path towards career adjudication, and the members of its largest tribunal, the Administrative Tribunal of Quebec, enjoy working lifetime security of tenure</w:t>
      </w:r>
      <w:r w:rsidR="00761484" w:rsidRPr="00162185">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761484" w:rsidRPr="00162185">
        <w:rPr>
          <w:rFonts w:ascii="Times New Roman" w:hAnsi="Times New Roman" w:cs="Times New Roman"/>
          <w:sz w:val="24"/>
          <w:szCs w:val="24"/>
        </w:rPr>
        <w:t>and for most practical purposes are treated as if they were provincial court judges who exercise specialized jurisdiction</w:t>
      </w:r>
      <w:r w:rsidR="000E21EB" w:rsidRPr="00162185">
        <w:rPr>
          <w:rFonts w:ascii="Times New Roman" w:hAnsi="Times New Roman" w:cs="Times New Roman"/>
          <w:sz w:val="24"/>
          <w:szCs w:val="24"/>
        </w:rPr>
        <w:t>. As a general rule, the bigger the jurisdiction</w:t>
      </w:r>
      <w:r>
        <w:rPr>
          <w:rFonts w:ascii="Times New Roman" w:hAnsi="Times New Roman" w:cs="Times New Roman"/>
          <w:sz w:val="24"/>
          <w:szCs w:val="24"/>
        </w:rPr>
        <w:t>,</w:t>
      </w:r>
      <w:r w:rsidR="000E21EB" w:rsidRPr="00162185">
        <w:rPr>
          <w:rFonts w:ascii="Times New Roman" w:hAnsi="Times New Roman" w:cs="Times New Roman"/>
          <w:sz w:val="24"/>
          <w:szCs w:val="24"/>
        </w:rPr>
        <w:t xml:space="preserve"> the further it is along the path to the career model, but </w:t>
      </w:r>
      <w:r w:rsidR="00A75BFF" w:rsidRPr="00162185">
        <w:rPr>
          <w:rFonts w:ascii="Times New Roman" w:hAnsi="Times New Roman" w:cs="Times New Roman"/>
          <w:sz w:val="24"/>
          <w:szCs w:val="24"/>
        </w:rPr>
        <w:t xml:space="preserve">this </w:t>
      </w:r>
      <w:r w:rsidR="002352DD" w:rsidRPr="00162185">
        <w:rPr>
          <w:rFonts w:ascii="Times New Roman" w:hAnsi="Times New Roman" w:cs="Times New Roman"/>
          <w:sz w:val="24"/>
          <w:szCs w:val="24"/>
        </w:rPr>
        <w:t xml:space="preserve">can </w:t>
      </w:r>
      <w:r w:rsidR="00A75BFF" w:rsidRPr="00162185">
        <w:rPr>
          <w:rFonts w:ascii="Times New Roman" w:hAnsi="Times New Roman" w:cs="Times New Roman"/>
          <w:sz w:val="24"/>
          <w:szCs w:val="24"/>
        </w:rPr>
        <w:t xml:space="preserve">still </w:t>
      </w:r>
      <w:r w:rsidR="002352DD" w:rsidRPr="00162185">
        <w:rPr>
          <w:rFonts w:ascii="Times New Roman" w:hAnsi="Times New Roman" w:cs="Times New Roman"/>
          <w:sz w:val="24"/>
          <w:szCs w:val="24"/>
        </w:rPr>
        <w:t xml:space="preserve">vary from jurisdiction and sometimes </w:t>
      </w:r>
      <w:r w:rsidR="000E21EB" w:rsidRPr="00162185">
        <w:rPr>
          <w:rFonts w:ascii="Times New Roman" w:hAnsi="Times New Roman" w:cs="Times New Roman"/>
          <w:sz w:val="24"/>
          <w:szCs w:val="24"/>
        </w:rPr>
        <w:t xml:space="preserve">from tribunal to tribunal within </w:t>
      </w:r>
      <w:r w:rsidR="00A75BFF" w:rsidRPr="00162185">
        <w:rPr>
          <w:rFonts w:ascii="Times New Roman" w:hAnsi="Times New Roman" w:cs="Times New Roman"/>
          <w:sz w:val="24"/>
          <w:szCs w:val="24"/>
        </w:rPr>
        <w:t xml:space="preserve">a </w:t>
      </w:r>
      <w:r w:rsidR="000E21EB" w:rsidRPr="00162185">
        <w:rPr>
          <w:rFonts w:ascii="Times New Roman" w:hAnsi="Times New Roman" w:cs="Times New Roman"/>
          <w:sz w:val="24"/>
          <w:szCs w:val="24"/>
        </w:rPr>
        <w:t>jurisdiction.</w:t>
      </w:r>
    </w:p>
    <w:p w:rsidR="00394A35" w:rsidRPr="00162185" w:rsidRDefault="000E21EB"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One of the impediments to career adjudication is the presence of limits on the number of times a member can be reappointed. In some jurisdictions these limits flow from government policy and are subject to exceptions, but in my home province of Alberta</w:t>
      </w:r>
      <w:r w:rsidR="006D1DF1">
        <w:rPr>
          <w:rFonts w:ascii="Times New Roman" w:hAnsi="Times New Roman" w:cs="Times New Roman"/>
          <w:sz w:val="24"/>
          <w:szCs w:val="24"/>
        </w:rPr>
        <w:t>,</w:t>
      </w:r>
      <w:r w:rsidRPr="00162185">
        <w:rPr>
          <w:rFonts w:ascii="Times New Roman" w:hAnsi="Times New Roman" w:cs="Times New Roman"/>
          <w:sz w:val="24"/>
          <w:szCs w:val="24"/>
        </w:rPr>
        <w:t xml:space="preserve"> the </w:t>
      </w:r>
      <w:r w:rsidR="001A13BD" w:rsidRPr="006D1DF1">
        <w:rPr>
          <w:rFonts w:ascii="Times New Roman" w:hAnsi="Times New Roman" w:cs="Times New Roman"/>
          <w:i/>
          <w:sz w:val="24"/>
          <w:szCs w:val="24"/>
        </w:rPr>
        <w:t xml:space="preserve">Alberta </w:t>
      </w:r>
      <w:r w:rsidRPr="006D1DF1">
        <w:rPr>
          <w:rFonts w:ascii="Times New Roman" w:hAnsi="Times New Roman" w:cs="Times New Roman"/>
          <w:i/>
          <w:sz w:val="24"/>
          <w:szCs w:val="24"/>
        </w:rPr>
        <w:t>Public Agencies Governance Act</w:t>
      </w:r>
      <w:r w:rsidRPr="00162185">
        <w:rPr>
          <w:rFonts w:ascii="Times New Roman" w:hAnsi="Times New Roman" w:cs="Times New Roman"/>
          <w:sz w:val="24"/>
          <w:szCs w:val="24"/>
        </w:rPr>
        <w:t>,</w:t>
      </w:r>
      <w:r w:rsidR="006D1DF1">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21"/>
      </w:r>
      <w:r w:rsidRPr="00162185">
        <w:rPr>
          <w:rFonts w:ascii="Times New Roman" w:hAnsi="Times New Roman" w:cs="Times New Roman"/>
          <w:sz w:val="24"/>
          <w:szCs w:val="24"/>
        </w:rPr>
        <w:t xml:space="preserve"> which has been in force since April 2013, prevents anyone from </w:t>
      </w:r>
      <w:r w:rsidR="00815777" w:rsidRPr="00162185">
        <w:rPr>
          <w:rFonts w:ascii="Times New Roman" w:hAnsi="Times New Roman" w:cs="Times New Roman"/>
          <w:sz w:val="24"/>
          <w:szCs w:val="24"/>
        </w:rPr>
        <w:t xml:space="preserve">serving as a member of </w:t>
      </w:r>
      <w:r w:rsidRPr="00162185">
        <w:rPr>
          <w:rFonts w:ascii="Times New Roman" w:hAnsi="Times New Roman" w:cs="Times New Roman"/>
          <w:sz w:val="24"/>
          <w:szCs w:val="24"/>
        </w:rPr>
        <w:t xml:space="preserve">a public agency that is empowered to perform an adjudicative function </w:t>
      </w:r>
      <w:r w:rsidR="00815777" w:rsidRPr="00162185">
        <w:rPr>
          <w:rFonts w:ascii="Times New Roman" w:hAnsi="Times New Roman" w:cs="Times New Roman"/>
          <w:sz w:val="24"/>
          <w:szCs w:val="24"/>
        </w:rPr>
        <w:t xml:space="preserve">for more than twelve consecutive years. </w:t>
      </w:r>
    </w:p>
    <w:p w:rsidR="00743015" w:rsidRPr="00162185" w:rsidRDefault="00815777"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The earlier practice of appointing tribunal members “at pleasure”</w:t>
      </w:r>
      <w:r w:rsidR="00743015" w:rsidRPr="00162185">
        <w:rPr>
          <w:rFonts w:ascii="Times New Roman" w:hAnsi="Times New Roman" w:cs="Times New Roman"/>
          <w:sz w:val="24"/>
          <w:szCs w:val="24"/>
        </w:rPr>
        <w:t xml:space="preserve"> has largely died out but i</w:t>
      </w:r>
      <w:r w:rsidR="002352DD" w:rsidRPr="00162185">
        <w:rPr>
          <w:rFonts w:ascii="Times New Roman" w:hAnsi="Times New Roman" w:cs="Times New Roman"/>
          <w:sz w:val="24"/>
          <w:szCs w:val="24"/>
        </w:rPr>
        <w:t>n many</w:t>
      </w:r>
      <w:r w:rsidR="00743015" w:rsidRPr="00162185">
        <w:rPr>
          <w:rFonts w:ascii="Times New Roman" w:hAnsi="Times New Roman" w:cs="Times New Roman"/>
          <w:sz w:val="24"/>
          <w:szCs w:val="24"/>
        </w:rPr>
        <w:t xml:space="preserve"> jurisdictions it is possible for a tribunal member’s </w:t>
      </w:r>
      <w:r w:rsidR="002352DD" w:rsidRPr="00162185">
        <w:rPr>
          <w:rFonts w:ascii="Times New Roman" w:hAnsi="Times New Roman" w:cs="Times New Roman"/>
          <w:sz w:val="24"/>
          <w:szCs w:val="24"/>
        </w:rPr>
        <w:t xml:space="preserve">term </w:t>
      </w:r>
      <w:r w:rsidR="00743015" w:rsidRPr="00162185">
        <w:rPr>
          <w:rFonts w:ascii="Times New Roman" w:hAnsi="Times New Roman" w:cs="Times New Roman"/>
          <w:sz w:val="24"/>
          <w:szCs w:val="24"/>
        </w:rPr>
        <w:t xml:space="preserve">appointment to be terminated without cause upon the payment of compensation. </w:t>
      </w:r>
      <w:r w:rsidR="00915710" w:rsidRPr="00162185">
        <w:rPr>
          <w:rFonts w:ascii="Times New Roman" w:hAnsi="Times New Roman" w:cs="Times New Roman"/>
          <w:sz w:val="24"/>
          <w:szCs w:val="24"/>
        </w:rPr>
        <w:t xml:space="preserve">The federal jurisdiction tends to be unusual in embedding in </w:t>
      </w:r>
      <w:r w:rsidR="00317A4A" w:rsidRPr="00162185">
        <w:rPr>
          <w:rFonts w:ascii="Times New Roman" w:hAnsi="Times New Roman" w:cs="Times New Roman"/>
          <w:sz w:val="24"/>
          <w:szCs w:val="24"/>
        </w:rPr>
        <w:t xml:space="preserve">the </w:t>
      </w:r>
      <w:r w:rsidR="00915710" w:rsidRPr="00162185">
        <w:rPr>
          <w:rFonts w:ascii="Times New Roman" w:hAnsi="Times New Roman" w:cs="Times New Roman"/>
          <w:sz w:val="24"/>
          <w:szCs w:val="24"/>
        </w:rPr>
        <w:t xml:space="preserve">enabling legislation </w:t>
      </w:r>
      <w:r w:rsidR="00317A4A" w:rsidRPr="00162185">
        <w:rPr>
          <w:rFonts w:ascii="Times New Roman" w:hAnsi="Times New Roman" w:cs="Times New Roman"/>
          <w:sz w:val="24"/>
          <w:szCs w:val="24"/>
        </w:rPr>
        <w:t xml:space="preserve">for some tribunals a </w:t>
      </w:r>
      <w:r w:rsidR="00915710" w:rsidRPr="00162185">
        <w:rPr>
          <w:rFonts w:ascii="Times New Roman" w:hAnsi="Times New Roman" w:cs="Times New Roman"/>
          <w:sz w:val="24"/>
          <w:szCs w:val="24"/>
        </w:rPr>
        <w:t xml:space="preserve">requirement that members may only be removed for cause during the term of their appointment and setting up a process for dealing with complaints about members and determining whether or not they should be removed for cause. </w:t>
      </w:r>
      <w:r w:rsidR="00743015" w:rsidRPr="00162185">
        <w:rPr>
          <w:rFonts w:ascii="Times New Roman" w:hAnsi="Times New Roman" w:cs="Times New Roman"/>
          <w:sz w:val="24"/>
          <w:szCs w:val="24"/>
        </w:rPr>
        <w:t xml:space="preserve">Term appointments </w:t>
      </w:r>
      <w:r w:rsidR="001729F1" w:rsidRPr="00162185">
        <w:rPr>
          <w:rFonts w:ascii="Times New Roman" w:hAnsi="Times New Roman" w:cs="Times New Roman"/>
          <w:sz w:val="24"/>
          <w:szCs w:val="24"/>
        </w:rPr>
        <w:t xml:space="preserve">in most jurisdictions </w:t>
      </w:r>
      <w:r w:rsidR="00743015" w:rsidRPr="00162185">
        <w:rPr>
          <w:rFonts w:ascii="Times New Roman" w:hAnsi="Times New Roman" w:cs="Times New Roman"/>
          <w:sz w:val="24"/>
          <w:szCs w:val="24"/>
        </w:rPr>
        <w:t>tend to be in the three to five year range, sometimes with shorter terms for initial appointments.</w:t>
      </w:r>
    </w:p>
    <w:p w:rsidR="00317A4A" w:rsidRPr="00162185" w:rsidRDefault="00743015"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Most </w:t>
      </w:r>
      <w:r w:rsidR="00A91EA7" w:rsidRPr="00162185">
        <w:rPr>
          <w:rFonts w:ascii="Times New Roman" w:hAnsi="Times New Roman" w:cs="Times New Roman"/>
          <w:sz w:val="24"/>
          <w:szCs w:val="24"/>
        </w:rPr>
        <w:t xml:space="preserve">Canadian </w:t>
      </w:r>
      <w:r w:rsidRPr="00162185">
        <w:rPr>
          <w:rFonts w:ascii="Times New Roman" w:hAnsi="Times New Roman" w:cs="Times New Roman"/>
          <w:sz w:val="24"/>
          <w:szCs w:val="24"/>
        </w:rPr>
        <w:t xml:space="preserve">jurisdictions now employ what we would describe as a “merit-based” appointment process, or what the Report would </w:t>
      </w:r>
      <w:r w:rsidR="00317A4A" w:rsidRPr="00162185">
        <w:rPr>
          <w:rFonts w:ascii="Times New Roman" w:hAnsi="Times New Roman" w:cs="Times New Roman"/>
          <w:sz w:val="24"/>
          <w:szCs w:val="24"/>
        </w:rPr>
        <w:t>call</w:t>
      </w:r>
      <w:r w:rsidRPr="00162185">
        <w:rPr>
          <w:rFonts w:ascii="Times New Roman" w:hAnsi="Times New Roman" w:cs="Times New Roman"/>
          <w:sz w:val="24"/>
          <w:szCs w:val="24"/>
        </w:rPr>
        <w:t xml:space="preserve"> an “advisory panel model” of appointment. Some jurisdictions, such as </w:t>
      </w:r>
      <w:r w:rsidR="00CF1A63" w:rsidRPr="00162185">
        <w:rPr>
          <w:rFonts w:ascii="Times New Roman" w:hAnsi="Times New Roman" w:cs="Times New Roman"/>
          <w:sz w:val="24"/>
          <w:szCs w:val="24"/>
        </w:rPr>
        <w:t>Alberta,</w:t>
      </w:r>
      <w:r w:rsidR="001729F1" w:rsidRPr="00162185">
        <w:rPr>
          <w:rFonts w:ascii="Times New Roman" w:hAnsi="Times New Roman" w:cs="Times New Roman"/>
          <w:sz w:val="24"/>
          <w:szCs w:val="24"/>
        </w:rPr>
        <w:t xml:space="preserve"> </w:t>
      </w:r>
      <w:r w:rsidRPr="00162185">
        <w:rPr>
          <w:rFonts w:ascii="Times New Roman" w:hAnsi="Times New Roman" w:cs="Times New Roman"/>
          <w:sz w:val="24"/>
          <w:szCs w:val="24"/>
        </w:rPr>
        <w:t xml:space="preserve">British Columbia and </w:t>
      </w:r>
      <w:r w:rsidR="00CF1A63" w:rsidRPr="00162185">
        <w:rPr>
          <w:rFonts w:ascii="Times New Roman" w:hAnsi="Times New Roman" w:cs="Times New Roman"/>
          <w:sz w:val="24"/>
          <w:szCs w:val="24"/>
        </w:rPr>
        <w:t xml:space="preserve">Ontario </w:t>
      </w:r>
      <w:r w:rsidRPr="00162185">
        <w:rPr>
          <w:rFonts w:ascii="Times New Roman" w:hAnsi="Times New Roman" w:cs="Times New Roman"/>
          <w:sz w:val="24"/>
          <w:szCs w:val="24"/>
        </w:rPr>
        <w:t xml:space="preserve">have statutory requirements that must be followed in the appointment process for tribunal members. In other jurisdictions, such as Nova Scotia, </w:t>
      </w:r>
      <w:r w:rsidR="002720AE" w:rsidRPr="00162185">
        <w:rPr>
          <w:rFonts w:ascii="Times New Roman" w:hAnsi="Times New Roman" w:cs="Times New Roman"/>
          <w:sz w:val="24"/>
          <w:szCs w:val="24"/>
        </w:rPr>
        <w:t>the process is mandated by government policy.</w:t>
      </w:r>
      <w:r w:rsidR="002352DD" w:rsidRPr="00162185">
        <w:rPr>
          <w:rFonts w:ascii="Times New Roman" w:hAnsi="Times New Roman" w:cs="Times New Roman"/>
          <w:sz w:val="24"/>
          <w:szCs w:val="24"/>
        </w:rPr>
        <w:t xml:space="preserve"> </w:t>
      </w:r>
    </w:p>
    <w:p w:rsidR="002720AE" w:rsidRPr="00162185" w:rsidRDefault="002352DD"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lastRenderedPageBreak/>
        <w:t xml:space="preserve">One thing that varies </w:t>
      </w:r>
      <w:r w:rsidR="00317A4A" w:rsidRPr="00162185">
        <w:rPr>
          <w:rFonts w:ascii="Times New Roman" w:hAnsi="Times New Roman" w:cs="Times New Roman"/>
          <w:sz w:val="24"/>
          <w:szCs w:val="24"/>
        </w:rPr>
        <w:t xml:space="preserve">significantly </w:t>
      </w:r>
      <w:r w:rsidRPr="00162185">
        <w:rPr>
          <w:rFonts w:ascii="Times New Roman" w:hAnsi="Times New Roman" w:cs="Times New Roman"/>
          <w:sz w:val="24"/>
          <w:szCs w:val="24"/>
        </w:rPr>
        <w:t xml:space="preserve">from </w:t>
      </w:r>
      <w:r w:rsidR="00144B01" w:rsidRPr="00162185">
        <w:rPr>
          <w:rFonts w:ascii="Times New Roman" w:hAnsi="Times New Roman" w:cs="Times New Roman"/>
          <w:sz w:val="24"/>
          <w:szCs w:val="24"/>
        </w:rPr>
        <w:t>jurisdiction to jurisdiction is the role of the chair of the tribunal in making recommendations with respect to appointments. In Nova Scotia, the chair of the tribunal has no formal role in the process and advisory committees concerning appointments to adjudicative agencies are composed of two civil servants, two community representatives and one human resource professional.</w:t>
      </w:r>
      <w:r w:rsidR="005D465F">
        <w:rPr>
          <w:rFonts w:ascii="Times New Roman" w:hAnsi="Times New Roman" w:cs="Times New Roman"/>
          <w:sz w:val="24"/>
          <w:szCs w:val="24"/>
        </w:rPr>
        <w:t xml:space="preserve"> </w:t>
      </w:r>
      <w:r w:rsidR="005D465F">
        <w:rPr>
          <w:rStyle w:val="FootnoteReference"/>
          <w:rFonts w:ascii="Times New Roman" w:hAnsi="Times New Roman" w:cs="Times New Roman"/>
          <w:sz w:val="24"/>
          <w:szCs w:val="24"/>
        </w:rPr>
        <w:footnoteReference w:id="22"/>
      </w:r>
      <w:r w:rsidR="00144B01" w:rsidRPr="00162185">
        <w:rPr>
          <w:rFonts w:ascii="Times New Roman" w:hAnsi="Times New Roman" w:cs="Times New Roman"/>
          <w:sz w:val="24"/>
          <w:szCs w:val="24"/>
        </w:rPr>
        <w:t xml:space="preserve"> </w:t>
      </w:r>
      <w:r w:rsidR="001A13BD" w:rsidRPr="00162185">
        <w:rPr>
          <w:rFonts w:ascii="Times New Roman" w:hAnsi="Times New Roman" w:cs="Times New Roman"/>
          <w:sz w:val="24"/>
          <w:szCs w:val="24"/>
        </w:rPr>
        <w:t xml:space="preserve">The </w:t>
      </w:r>
      <w:r w:rsidR="001A13BD" w:rsidRPr="006D1DF1">
        <w:rPr>
          <w:rFonts w:ascii="Times New Roman" w:hAnsi="Times New Roman" w:cs="Times New Roman"/>
          <w:i/>
          <w:sz w:val="24"/>
          <w:szCs w:val="24"/>
        </w:rPr>
        <w:t xml:space="preserve">Alberta Public Agencies Governance Act </w:t>
      </w:r>
      <w:r w:rsidR="001A13BD" w:rsidRPr="00162185">
        <w:rPr>
          <w:rFonts w:ascii="Times New Roman" w:hAnsi="Times New Roman" w:cs="Times New Roman"/>
          <w:sz w:val="24"/>
          <w:szCs w:val="24"/>
        </w:rPr>
        <w:t xml:space="preserve">requires a transparent and merit-based appointment process but it does not explicitly require consultation with a tribunal’s chair. On the other hand, in practice </w:t>
      </w:r>
      <w:r w:rsidR="002026B5">
        <w:rPr>
          <w:rFonts w:ascii="Times New Roman" w:hAnsi="Times New Roman" w:cs="Times New Roman"/>
          <w:sz w:val="24"/>
          <w:szCs w:val="24"/>
        </w:rPr>
        <w:t xml:space="preserve">many </w:t>
      </w:r>
      <w:r w:rsidR="00A91EA7" w:rsidRPr="00162185">
        <w:rPr>
          <w:rFonts w:ascii="Times New Roman" w:hAnsi="Times New Roman" w:cs="Times New Roman"/>
          <w:sz w:val="24"/>
          <w:szCs w:val="24"/>
        </w:rPr>
        <w:t xml:space="preserve">Alberta </w:t>
      </w:r>
      <w:r w:rsidR="001A13BD" w:rsidRPr="00162185">
        <w:rPr>
          <w:rFonts w:ascii="Times New Roman" w:hAnsi="Times New Roman" w:cs="Times New Roman"/>
          <w:sz w:val="24"/>
          <w:szCs w:val="24"/>
        </w:rPr>
        <w:t xml:space="preserve">tribunals are responsible for assessing applications and making recommendations </w:t>
      </w:r>
      <w:r w:rsidR="00CF1A63" w:rsidRPr="00162185">
        <w:rPr>
          <w:rFonts w:ascii="Times New Roman" w:hAnsi="Times New Roman" w:cs="Times New Roman"/>
          <w:sz w:val="24"/>
          <w:szCs w:val="24"/>
        </w:rPr>
        <w:t>to the Minister who is responsible for appointments.</w:t>
      </w:r>
      <w:r w:rsidR="006D1DF1">
        <w:rPr>
          <w:rStyle w:val="FootnoteReference"/>
          <w:rFonts w:ascii="Times New Roman" w:hAnsi="Times New Roman" w:cs="Times New Roman"/>
          <w:sz w:val="24"/>
          <w:szCs w:val="24"/>
        </w:rPr>
        <w:footnoteReference w:id="23"/>
      </w:r>
      <w:r w:rsidR="001A13BD" w:rsidRPr="00162185">
        <w:rPr>
          <w:rFonts w:ascii="Times New Roman" w:hAnsi="Times New Roman" w:cs="Times New Roman"/>
          <w:sz w:val="24"/>
          <w:szCs w:val="24"/>
        </w:rPr>
        <w:t xml:space="preserve"> </w:t>
      </w:r>
      <w:r w:rsidR="00144B01" w:rsidRPr="00162185">
        <w:rPr>
          <w:rFonts w:ascii="Times New Roman" w:hAnsi="Times New Roman" w:cs="Times New Roman"/>
          <w:sz w:val="24"/>
          <w:szCs w:val="24"/>
        </w:rPr>
        <w:t>In British Columbia</w:t>
      </w:r>
      <w:r w:rsidR="00272633">
        <w:rPr>
          <w:rFonts w:ascii="Times New Roman" w:hAnsi="Times New Roman" w:cs="Times New Roman"/>
          <w:sz w:val="24"/>
          <w:szCs w:val="24"/>
        </w:rPr>
        <w:t>,</w:t>
      </w:r>
      <w:r w:rsidR="00144B01" w:rsidRPr="00162185">
        <w:rPr>
          <w:rFonts w:ascii="Times New Roman" w:hAnsi="Times New Roman" w:cs="Times New Roman"/>
          <w:sz w:val="24"/>
          <w:szCs w:val="24"/>
        </w:rPr>
        <w:t xml:space="preserve"> the </w:t>
      </w:r>
      <w:r w:rsidR="00144B01" w:rsidRPr="006D1DF1">
        <w:rPr>
          <w:rFonts w:ascii="Times New Roman" w:hAnsi="Times New Roman" w:cs="Times New Roman"/>
          <w:i/>
          <w:sz w:val="24"/>
          <w:szCs w:val="24"/>
        </w:rPr>
        <w:t>Administrative Tribunals Act</w:t>
      </w:r>
      <w:r w:rsidR="00144B01" w:rsidRPr="00162185">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24"/>
      </w:r>
      <w:r w:rsidR="006D1DF1">
        <w:rPr>
          <w:rFonts w:ascii="Times New Roman" w:hAnsi="Times New Roman" w:cs="Times New Roman"/>
          <w:sz w:val="24"/>
          <w:szCs w:val="24"/>
        </w:rPr>
        <w:t xml:space="preserve"> </w:t>
      </w:r>
      <w:r w:rsidR="00144B01" w:rsidRPr="00162185">
        <w:rPr>
          <w:rFonts w:ascii="Times New Roman" w:hAnsi="Times New Roman" w:cs="Times New Roman"/>
          <w:sz w:val="24"/>
          <w:szCs w:val="24"/>
        </w:rPr>
        <w:t xml:space="preserve">requires the use of both a merit-based appointment process and consultation with the tribunal’s chair before an appointment may be made, but there is no requirement that the chair approve the appointment. Finally, the Ontario </w:t>
      </w:r>
      <w:r w:rsidR="00144B01" w:rsidRPr="006D1DF1">
        <w:rPr>
          <w:rFonts w:ascii="Times New Roman" w:hAnsi="Times New Roman" w:cs="Times New Roman"/>
          <w:i/>
          <w:sz w:val="24"/>
          <w:szCs w:val="24"/>
        </w:rPr>
        <w:t>A</w:t>
      </w:r>
      <w:r w:rsidR="00C0565F">
        <w:rPr>
          <w:rFonts w:ascii="Times New Roman" w:hAnsi="Times New Roman" w:cs="Times New Roman"/>
          <w:i/>
          <w:sz w:val="24"/>
          <w:szCs w:val="24"/>
        </w:rPr>
        <w:t>TAGAA</w:t>
      </w:r>
      <w:r w:rsidR="00144B01" w:rsidRPr="00162185">
        <w:rPr>
          <w:rFonts w:ascii="Times New Roman" w:hAnsi="Times New Roman" w:cs="Times New Roman"/>
          <w:sz w:val="24"/>
          <w:szCs w:val="24"/>
        </w:rPr>
        <w:t xml:space="preserve"> </w:t>
      </w:r>
      <w:r w:rsidR="00CF1A63" w:rsidRPr="00162185">
        <w:rPr>
          <w:rFonts w:ascii="Times New Roman" w:hAnsi="Times New Roman" w:cs="Times New Roman"/>
          <w:sz w:val="24"/>
          <w:szCs w:val="24"/>
        </w:rPr>
        <w:t>mandates</w:t>
      </w:r>
      <w:r w:rsidR="00144B01" w:rsidRPr="00162185">
        <w:rPr>
          <w:rFonts w:ascii="Times New Roman" w:hAnsi="Times New Roman" w:cs="Times New Roman"/>
          <w:sz w:val="24"/>
          <w:szCs w:val="24"/>
        </w:rPr>
        <w:t xml:space="preserve"> both the use of a </w:t>
      </w:r>
      <w:r w:rsidR="00394A35" w:rsidRPr="00162185">
        <w:rPr>
          <w:rFonts w:ascii="Times New Roman" w:hAnsi="Times New Roman" w:cs="Times New Roman"/>
          <w:sz w:val="24"/>
          <w:szCs w:val="24"/>
        </w:rPr>
        <w:t xml:space="preserve">competitive </w:t>
      </w:r>
      <w:r w:rsidR="00144B01" w:rsidRPr="00162185">
        <w:rPr>
          <w:rFonts w:ascii="Times New Roman" w:hAnsi="Times New Roman" w:cs="Times New Roman"/>
          <w:sz w:val="24"/>
          <w:szCs w:val="24"/>
        </w:rPr>
        <w:t>merit</w:t>
      </w:r>
      <w:r w:rsidR="00394A35" w:rsidRPr="00162185">
        <w:rPr>
          <w:rFonts w:ascii="Times New Roman" w:hAnsi="Times New Roman" w:cs="Times New Roman"/>
          <w:sz w:val="24"/>
          <w:szCs w:val="24"/>
        </w:rPr>
        <w:t xml:space="preserve">-based appointment process and </w:t>
      </w:r>
      <w:r w:rsidR="00CF1A63" w:rsidRPr="00162185">
        <w:rPr>
          <w:rFonts w:ascii="Times New Roman" w:hAnsi="Times New Roman" w:cs="Times New Roman"/>
          <w:sz w:val="24"/>
          <w:szCs w:val="24"/>
        </w:rPr>
        <w:t>a</w:t>
      </w:r>
      <w:r w:rsidR="00394A35" w:rsidRPr="00162185">
        <w:rPr>
          <w:rFonts w:ascii="Times New Roman" w:hAnsi="Times New Roman" w:cs="Times New Roman"/>
          <w:sz w:val="24"/>
          <w:szCs w:val="24"/>
        </w:rPr>
        <w:t xml:space="preserve"> recommendation </w:t>
      </w:r>
      <w:r w:rsidR="00CF1A63" w:rsidRPr="00162185">
        <w:rPr>
          <w:rFonts w:ascii="Times New Roman" w:hAnsi="Times New Roman" w:cs="Times New Roman"/>
          <w:sz w:val="24"/>
          <w:szCs w:val="24"/>
        </w:rPr>
        <w:t xml:space="preserve">from </w:t>
      </w:r>
      <w:r w:rsidR="00394A35" w:rsidRPr="00162185">
        <w:rPr>
          <w:rFonts w:ascii="Times New Roman" w:hAnsi="Times New Roman" w:cs="Times New Roman"/>
          <w:sz w:val="24"/>
          <w:szCs w:val="24"/>
        </w:rPr>
        <w:t>the tribunal’s chair before an appointment can be made.</w:t>
      </w:r>
      <w:r w:rsidR="00144B01" w:rsidRPr="00162185">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25"/>
      </w:r>
      <w:r w:rsidR="00144B01" w:rsidRPr="00162185">
        <w:rPr>
          <w:rFonts w:ascii="Times New Roman" w:hAnsi="Times New Roman" w:cs="Times New Roman"/>
          <w:sz w:val="24"/>
          <w:szCs w:val="24"/>
        </w:rPr>
        <w:t xml:space="preserve"> </w:t>
      </w:r>
    </w:p>
    <w:p w:rsidR="00541D97" w:rsidRPr="00162185" w:rsidRDefault="002720AE"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major weakness in the Canadian system </w:t>
      </w:r>
      <w:r w:rsidR="001729F1" w:rsidRPr="00162185">
        <w:rPr>
          <w:rFonts w:ascii="Times New Roman" w:hAnsi="Times New Roman" w:cs="Times New Roman"/>
          <w:sz w:val="24"/>
          <w:szCs w:val="24"/>
        </w:rPr>
        <w:t xml:space="preserve">of tribunal appointments </w:t>
      </w:r>
      <w:r w:rsidR="00493B83" w:rsidRPr="00162185">
        <w:rPr>
          <w:rFonts w:ascii="Times New Roman" w:hAnsi="Times New Roman" w:cs="Times New Roman"/>
          <w:sz w:val="24"/>
          <w:szCs w:val="24"/>
        </w:rPr>
        <w:t>tends to be in</w:t>
      </w:r>
      <w:r w:rsidRPr="00162185">
        <w:rPr>
          <w:rFonts w:ascii="Times New Roman" w:hAnsi="Times New Roman" w:cs="Times New Roman"/>
          <w:sz w:val="24"/>
          <w:szCs w:val="24"/>
        </w:rPr>
        <w:t xml:space="preserve"> the area of reappointments. Even jurisdictions such as British Columbia that have a strong statutory commitment to merit-based initial appointments</w:t>
      </w:r>
      <w:r w:rsidR="00743015" w:rsidRPr="00162185">
        <w:rPr>
          <w:rFonts w:ascii="Times New Roman" w:hAnsi="Times New Roman" w:cs="Times New Roman"/>
          <w:sz w:val="24"/>
          <w:szCs w:val="24"/>
        </w:rPr>
        <w:t xml:space="preserve"> </w:t>
      </w:r>
      <w:r w:rsidRPr="00162185">
        <w:rPr>
          <w:rFonts w:ascii="Times New Roman" w:hAnsi="Times New Roman" w:cs="Times New Roman"/>
          <w:sz w:val="24"/>
          <w:szCs w:val="24"/>
        </w:rPr>
        <w:t xml:space="preserve">typically do not extend that commitment to reappointments. </w:t>
      </w:r>
      <w:r w:rsidR="001729F1" w:rsidRPr="00162185">
        <w:rPr>
          <w:rFonts w:ascii="Times New Roman" w:hAnsi="Times New Roman" w:cs="Times New Roman"/>
          <w:sz w:val="24"/>
          <w:szCs w:val="24"/>
        </w:rPr>
        <w:t>Moreover, it is not uncommon for tribunal members and chairs to experience difficulty in obtaining timely information about whether or not members are going to be reappointed.</w:t>
      </w:r>
      <w:r w:rsidR="00541D97" w:rsidRPr="00162185">
        <w:rPr>
          <w:rFonts w:ascii="Times New Roman" w:hAnsi="Times New Roman" w:cs="Times New Roman"/>
          <w:sz w:val="24"/>
          <w:szCs w:val="24"/>
        </w:rPr>
        <w:t xml:space="preserve"> This uncertainty causes hardship for many tribunal members since they do not know whether or not they need to look for alternative employment and their opportunities to search for some types of employment </w:t>
      </w:r>
      <w:r w:rsidR="00C0565F">
        <w:rPr>
          <w:rFonts w:ascii="Times New Roman" w:hAnsi="Times New Roman" w:cs="Times New Roman"/>
          <w:sz w:val="24"/>
          <w:szCs w:val="24"/>
        </w:rPr>
        <w:t>are likely to be</w:t>
      </w:r>
      <w:r w:rsidR="00541D97" w:rsidRPr="00162185">
        <w:rPr>
          <w:rFonts w:ascii="Times New Roman" w:hAnsi="Times New Roman" w:cs="Times New Roman"/>
          <w:sz w:val="24"/>
          <w:szCs w:val="24"/>
        </w:rPr>
        <w:t xml:space="preserve"> constrained while they are still members of the tribunal. It can also cause problems for the tribunal</w:t>
      </w:r>
      <w:r w:rsidR="00C0565F">
        <w:rPr>
          <w:rFonts w:ascii="Times New Roman" w:hAnsi="Times New Roman" w:cs="Times New Roman"/>
          <w:sz w:val="24"/>
          <w:szCs w:val="24"/>
        </w:rPr>
        <w:t>, both because uncertainty about the status of members can make it difficult to schedule hearings in advance</w:t>
      </w:r>
      <w:r w:rsidR="00541D97" w:rsidRPr="00162185">
        <w:rPr>
          <w:rFonts w:ascii="Times New Roman" w:hAnsi="Times New Roman" w:cs="Times New Roman"/>
          <w:sz w:val="24"/>
          <w:szCs w:val="24"/>
        </w:rPr>
        <w:t xml:space="preserve"> </w:t>
      </w:r>
      <w:r w:rsidR="00C0565F">
        <w:rPr>
          <w:rFonts w:ascii="Times New Roman" w:hAnsi="Times New Roman" w:cs="Times New Roman"/>
          <w:sz w:val="24"/>
          <w:szCs w:val="24"/>
        </w:rPr>
        <w:t xml:space="preserve">and </w:t>
      </w:r>
      <w:r w:rsidR="00541D97" w:rsidRPr="00162185">
        <w:rPr>
          <w:rFonts w:ascii="Times New Roman" w:hAnsi="Times New Roman" w:cs="Times New Roman"/>
          <w:sz w:val="24"/>
          <w:szCs w:val="24"/>
        </w:rPr>
        <w:t xml:space="preserve">because members </w:t>
      </w:r>
      <w:r w:rsidR="00272633">
        <w:rPr>
          <w:rFonts w:ascii="Times New Roman" w:hAnsi="Times New Roman" w:cs="Times New Roman"/>
          <w:sz w:val="24"/>
          <w:szCs w:val="24"/>
        </w:rPr>
        <w:t>who</w:t>
      </w:r>
      <w:r w:rsidR="00541D97" w:rsidRPr="00162185">
        <w:rPr>
          <w:rFonts w:ascii="Times New Roman" w:hAnsi="Times New Roman" w:cs="Times New Roman"/>
          <w:sz w:val="24"/>
          <w:szCs w:val="24"/>
        </w:rPr>
        <w:t xml:space="preserve"> the tribunal </w:t>
      </w:r>
      <w:r w:rsidR="00272633">
        <w:rPr>
          <w:rFonts w:ascii="Times New Roman" w:hAnsi="Times New Roman" w:cs="Times New Roman"/>
          <w:sz w:val="24"/>
          <w:szCs w:val="24"/>
        </w:rPr>
        <w:t>would</w:t>
      </w:r>
      <w:r w:rsidR="00541D97" w:rsidRPr="00162185">
        <w:rPr>
          <w:rFonts w:ascii="Times New Roman" w:hAnsi="Times New Roman" w:cs="Times New Roman"/>
          <w:sz w:val="24"/>
          <w:szCs w:val="24"/>
        </w:rPr>
        <w:t xml:space="preserve"> like to see continue may decide not to seek reappointment because they are not prepared to deal with an extended period of uncertainty. </w:t>
      </w:r>
      <w:r w:rsidR="001729F1" w:rsidRPr="00162185">
        <w:rPr>
          <w:rFonts w:ascii="Times New Roman" w:hAnsi="Times New Roman" w:cs="Times New Roman"/>
          <w:sz w:val="24"/>
          <w:szCs w:val="24"/>
        </w:rPr>
        <w:t xml:space="preserve"> </w:t>
      </w:r>
    </w:p>
    <w:p w:rsidR="00FD14E8" w:rsidRPr="00162185" w:rsidRDefault="00493B83"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lastRenderedPageBreak/>
        <w:t>Ontario is exception</w:t>
      </w:r>
      <w:r w:rsidR="00A91EA7" w:rsidRPr="00162185">
        <w:rPr>
          <w:rFonts w:ascii="Times New Roman" w:hAnsi="Times New Roman" w:cs="Times New Roman"/>
          <w:sz w:val="24"/>
          <w:szCs w:val="24"/>
        </w:rPr>
        <w:t>al</w:t>
      </w:r>
      <w:r w:rsidRPr="00162185">
        <w:rPr>
          <w:rFonts w:ascii="Times New Roman" w:hAnsi="Times New Roman" w:cs="Times New Roman"/>
          <w:sz w:val="24"/>
          <w:szCs w:val="24"/>
        </w:rPr>
        <w:t xml:space="preserve"> in </w:t>
      </w:r>
      <w:r w:rsidR="00A91EA7" w:rsidRPr="00162185">
        <w:rPr>
          <w:rFonts w:ascii="Times New Roman" w:hAnsi="Times New Roman" w:cs="Times New Roman"/>
          <w:sz w:val="24"/>
          <w:szCs w:val="24"/>
        </w:rPr>
        <w:t xml:space="preserve">its approach to </w:t>
      </w:r>
      <w:r w:rsidR="00CF1A63" w:rsidRPr="00162185">
        <w:rPr>
          <w:rFonts w:ascii="Times New Roman" w:hAnsi="Times New Roman" w:cs="Times New Roman"/>
          <w:sz w:val="24"/>
          <w:szCs w:val="24"/>
        </w:rPr>
        <w:t xml:space="preserve">reappointment </w:t>
      </w:r>
      <w:r w:rsidRPr="00162185">
        <w:rPr>
          <w:rFonts w:ascii="Times New Roman" w:hAnsi="Times New Roman" w:cs="Times New Roman"/>
          <w:sz w:val="24"/>
          <w:szCs w:val="24"/>
        </w:rPr>
        <w:t xml:space="preserve">because the Ontario </w:t>
      </w:r>
      <w:r w:rsidRPr="006D1DF1">
        <w:rPr>
          <w:rFonts w:ascii="Times New Roman" w:hAnsi="Times New Roman" w:cs="Times New Roman"/>
          <w:i/>
          <w:sz w:val="24"/>
          <w:szCs w:val="24"/>
        </w:rPr>
        <w:t>A</w:t>
      </w:r>
      <w:r w:rsidR="00C0565F">
        <w:rPr>
          <w:rFonts w:ascii="Times New Roman" w:hAnsi="Times New Roman" w:cs="Times New Roman"/>
          <w:i/>
          <w:sz w:val="24"/>
          <w:szCs w:val="24"/>
        </w:rPr>
        <w:t>TAGAA</w:t>
      </w:r>
      <w:r w:rsidR="006D1DF1">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26"/>
      </w:r>
      <w:r w:rsidRPr="00162185">
        <w:rPr>
          <w:rFonts w:ascii="Times New Roman" w:hAnsi="Times New Roman" w:cs="Times New Roman"/>
          <w:sz w:val="24"/>
          <w:szCs w:val="24"/>
        </w:rPr>
        <w:t xml:space="preserve"> requires the chair of the tribunal to recommend the reappointment of a </w:t>
      </w:r>
      <w:r w:rsidR="00915710" w:rsidRPr="00162185">
        <w:rPr>
          <w:rFonts w:ascii="Times New Roman" w:hAnsi="Times New Roman" w:cs="Times New Roman"/>
          <w:sz w:val="24"/>
          <w:szCs w:val="24"/>
        </w:rPr>
        <w:t>member before reappointment can occur.</w:t>
      </w:r>
      <w:r w:rsidR="00267CAE" w:rsidRPr="00162185">
        <w:rPr>
          <w:rFonts w:ascii="Times New Roman" w:hAnsi="Times New Roman" w:cs="Times New Roman"/>
          <w:sz w:val="24"/>
          <w:szCs w:val="24"/>
        </w:rPr>
        <w:t xml:space="preserve"> </w:t>
      </w:r>
      <w:r w:rsidR="00394A35" w:rsidRPr="00162185">
        <w:rPr>
          <w:rFonts w:ascii="Times New Roman" w:hAnsi="Times New Roman" w:cs="Times New Roman"/>
          <w:sz w:val="24"/>
          <w:szCs w:val="24"/>
        </w:rPr>
        <w:t xml:space="preserve">The </w:t>
      </w:r>
      <w:r w:rsidR="00C0565F">
        <w:rPr>
          <w:rFonts w:ascii="Times New Roman" w:hAnsi="Times New Roman" w:cs="Times New Roman"/>
          <w:i/>
          <w:sz w:val="24"/>
          <w:szCs w:val="24"/>
        </w:rPr>
        <w:t xml:space="preserve">ATAGAA </w:t>
      </w:r>
      <w:r w:rsidR="00394A35" w:rsidRPr="00162185">
        <w:rPr>
          <w:rFonts w:ascii="Times New Roman" w:hAnsi="Times New Roman" w:cs="Times New Roman"/>
          <w:sz w:val="24"/>
          <w:szCs w:val="24"/>
        </w:rPr>
        <w:t>does not, however, require the appointing authority to reappoint a member whose reappointment has been recommended</w:t>
      </w:r>
      <w:r w:rsidR="00CF1A63" w:rsidRPr="00162185">
        <w:rPr>
          <w:rFonts w:ascii="Times New Roman" w:hAnsi="Times New Roman" w:cs="Times New Roman"/>
          <w:sz w:val="24"/>
          <w:szCs w:val="24"/>
        </w:rPr>
        <w:t>;</w:t>
      </w:r>
      <w:r w:rsidR="00394A35" w:rsidRPr="00162185">
        <w:rPr>
          <w:rFonts w:ascii="Times New Roman" w:hAnsi="Times New Roman" w:cs="Times New Roman"/>
          <w:sz w:val="24"/>
          <w:szCs w:val="24"/>
        </w:rPr>
        <w:t xml:space="preserve"> it simply prevents the reappointment of a member who reappointment has not been recommended by the chair.</w:t>
      </w:r>
      <w:r w:rsidR="002720AE" w:rsidRPr="00162185">
        <w:rPr>
          <w:rFonts w:ascii="Times New Roman" w:hAnsi="Times New Roman" w:cs="Times New Roman"/>
          <w:sz w:val="24"/>
          <w:szCs w:val="24"/>
        </w:rPr>
        <w:t xml:space="preserve"> </w:t>
      </w:r>
      <w:r w:rsidR="00743015" w:rsidRPr="00162185">
        <w:rPr>
          <w:rFonts w:ascii="Times New Roman" w:hAnsi="Times New Roman" w:cs="Times New Roman"/>
          <w:sz w:val="24"/>
          <w:szCs w:val="24"/>
        </w:rPr>
        <w:t xml:space="preserve">    </w:t>
      </w:r>
      <w:r w:rsidR="000E21EB" w:rsidRPr="00162185">
        <w:rPr>
          <w:rFonts w:ascii="Times New Roman" w:hAnsi="Times New Roman" w:cs="Times New Roman"/>
          <w:sz w:val="24"/>
          <w:szCs w:val="24"/>
        </w:rPr>
        <w:t xml:space="preserve">  </w:t>
      </w:r>
      <w:r w:rsidR="00B002D6" w:rsidRPr="00162185">
        <w:rPr>
          <w:rFonts w:ascii="Times New Roman" w:hAnsi="Times New Roman" w:cs="Times New Roman"/>
          <w:sz w:val="24"/>
          <w:szCs w:val="24"/>
        </w:rPr>
        <w:t xml:space="preserve">   </w:t>
      </w:r>
      <w:r w:rsidR="008C5EEF" w:rsidRPr="00162185">
        <w:rPr>
          <w:rFonts w:ascii="Times New Roman" w:hAnsi="Times New Roman" w:cs="Times New Roman"/>
          <w:sz w:val="24"/>
          <w:szCs w:val="24"/>
        </w:rPr>
        <w:t xml:space="preserve"> </w:t>
      </w:r>
      <w:r w:rsidR="00FD14E8" w:rsidRPr="00162185">
        <w:rPr>
          <w:rFonts w:ascii="Times New Roman" w:hAnsi="Times New Roman" w:cs="Times New Roman"/>
          <w:sz w:val="24"/>
          <w:szCs w:val="24"/>
        </w:rPr>
        <w:t xml:space="preserve">  </w:t>
      </w:r>
    </w:p>
    <w:p w:rsidR="00A45DA0" w:rsidRPr="00162185" w:rsidRDefault="001729F1"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In Canada there is a significant contrast between the approach taken to establishing remuneration for tribunal members and the process used to determine the remuneration of judges. In most Canadian jurisdictions the remuneration of tribunal members tends to be fixed either by the Governor in Council or the Lieutenant Governor in Council or by the responsible Minister in accordance with Treasury Board guidelines. </w:t>
      </w:r>
      <w:r w:rsidR="00BA60E6" w:rsidRPr="00162185">
        <w:rPr>
          <w:rFonts w:ascii="Times New Roman" w:hAnsi="Times New Roman" w:cs="Times New Roman"/>
          <w:sz w:val="24"/>
          <w:szCs w:val="24"/>
        </w:rPr>
        <w:t>It is relatively unusual for tribunals to receive statutory protection from reductions in their remuneration, though this is done with respect to the Administrative Tribunal of Quebec.</w:t>
      </w:r>
      <w:r w:rsidR="00CF0261">
        <w:rPr>
          <w:rFonts w:ascii="Times New Roman" w:hAnsi="Times New Roman" w:cs="Times New Roman"/>
          <w:sz w:val="24"/>
          <w:szCs w:val="24"/>
        </w:rPr>
        <w:t xml:space="preserve"> </w:t>
      </w:r>
      <w:r w:rsidR="00CF0261">
        <w:rPr>
          <w:rStyle w:val="FootnoteReference"/>
          <w:rFonts w:ascii="Times New Roman" w:hAnsi="Times New Roman" w:cs="Times New Roman"/>
          <w:sz w:val="24"/>
          <w:szCs w:val="24"/>
        </w:rPr>
        <w:footnoteReference w:id="27"/>
      </w:r>
      <w:r w:rsidR="00BA60E6" w:rsidRPr="00162185">
        <w:rPr>
          <w:rFonts w:ascii="Times New Roman" w:hAnsi="Times New Roman" w:cs="Times New Roman"/>
          <w:sz w:val="24"/>
          <w:szCs w:val="24"/>
        </w:rPr>
        <w:t xml:space="preserve"> </w:t>
      </w:r>
      <w:r w:rsidRPr="00162185">
        <w:rPr>
          <w:rFonts w:ascii="Times New Roman" w:hAnsi="Times New Roman" w:cs="Times New Roman"/>
          <w:sz w:val="24"/>
          <w:szCs w:val="24"/>
        </w:rPr>
        <w:t xml:space="preserve">Tribunal members will typically be covered by any wage restraints or rollbacks imposed by government on the </w:t>
      </w:r>
      <w:r w:rsidR="00317A4A" w:rsidRPr="00162185">
        <w:rPr>
          <w:rFonts w:ascii="Times New Roman" w:hAnsi="Times New Roman" w:cs="Times New Roman"/>
          <w:sz w:val="24"/>
          <w:szCs w:val="24"/>
        </w:rPr>
        <w:t>broader</w:t>
      </w:r>
      <w:r w:rsidRPr="00162185">
        <w:rPr>
          <w:rFonts w:ascii="Times New Roman" w:hAnsi="Times New Roman" w:cs="Times New Roman"/>
          <w:sz w:val="24"/>
          <w:szCs w:val="24"/>
        </w:rPr>
        <w:t xml:space="preserve"> public service but I am not aware of an example of a government singling out the tribunal sector or a particular tribunal for differential treatment </w:t>
      </w:r>
      <w:r w:rsidR="00A45DA0" w:rsidRPr="00162185">
        <w:rPr>
          <w:rFonts w:ascii="Times New Roman" w:hAnsi="Times New Roman" w:cs="Times New Roman"/>
          <w:sz w:val="24"/>
          <w:szCs w:val="24"/>
        </w:rPr>
        <w:t xml:space="preserve">in relation to wage restraints or rollbacks. </w:t>
      </w:r>
    </w:p>
    <w:p w:rsidR="00BA60E6" w:rsidRPr="00162185" w:rsidRDefault="00A45DA0"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By contrast, the </w:t>
      </w:r>
      <w:r w:rsidRPr="00F06547">
        <w:rPr>
          <w:rFonts w:ascii="Times New Roman" w:hAnsi="Times New Roman" w:cs="Times New Roman"/>
          <w:i/>
          <w:sz w:val="24"/>
          <w:szCs w:val="24"/>
        </w:rPr>
        <w:t>PEI Provincial Court Judges Reference</w:t>
      </w:r>
      <w:r w:rsidRPr="00162185">
        <w:rPr>
          <w:rFonts w:ascii="Times New Roman" w:hAnsi="Times New Roman" w:cs="Times New Roman"/>
          <w:sz w:val="24"/>
          <w:szCs w:val="24"/>
        </w:rPr>
        <w:t xml:space="preserve"> established an elaborate, constitutionally mandated, process for setting judicial compensation. This process was designed, insofar as possible, to depoliticize the </w:t>
      </w:r>
      <w:r w:rsidR="00272633">
        <w:rPr>
          <w:rFonts w:ascii="Times New Roman" w:hAnsi="Times New Roman" w:cs="Times New Roman"/>
          <w:sz w:val="24"/>
          <w:szCs w:val="24"/>
        </w:rPr>
        <w:t xml:space="preserve">establishment of </w:t>
      </w:r>
      <w:r w:rsidRPr="00162185">
        <w:rPr>
          <w:rFonts w:ascii="Times New Roman" w:hAnsi="Times New Roman" w:cs="Times New Roman"/>
          <w:sz w:val="24"/>
          <w:szCs w:val="24"/>
        </w:rPr>
        <w:t>judicial compensation. On a regular basis governments are required to set up an independent commission to make recommendations on levels of remuneration</w:t>
      </w:r>
      <w:r w:rsidR="00CF1A63" w:rsidRPr="00162185">
        <w:rPr>
          <w:rFonts w:ascii="Times New Roman" w:hAnsi="Times New Roman" w:cs="Times New Roman"/>
          <w:sz w:val="24"/>
          <w:szCs w:val="24"/>
        </w:rPr>
        <w:t xml:space="preserve"> for judges</w:t>
      </w:r>
      <w:r w:rsidRPr="00162185">
        <w:rPr>
          <w:rFonts w:ascii="Times New Roman" w:hAnsi="Times New Roman" w:cs="Times New Roman"/>
          <w:sz w:val="24"/>
          <w:szCs w:val="24"/>
        </w:rPr>
        <w:t xml:space="preserve">, including </w:t>
      </w:r>
      <w:r w:rsidR="00CF1A63" w:rsidRPr="00162185">
        <w:rPr>
          <w:rFonts w:ascii="Times New Roman" w:hAnsi="Times New Roman" w:cs="Times New Roman"/>
          <w:sz w:val="24"/>
          <w:szCs w:val="24"/>
        </w:rPr>
        <w:t xml:space="preserve">levels and types of </w:t>
      </w:r>
      <w:r w:rsidRPr="00162185">
        <w:rPr>
          <w:rFonts w:ascii="Times New Roman" w:hAnsi="Times New Roman" w:cs="Times New Roman"/>
          <w:sz w:val="24"/>
          <w:szCs w:val="24"/>
        </w:rPr>
        <w:t>benefits. Associations of judges may make representations to the commission and respond to the government’s submissions</w:t>
      </w:r>
      <w:r w:rsidR="00CF1A63" w:rsidRPr="00162185">
        <w:rPr>
          <w:rFonts w:ascii="Times New Roman" w:hAnsi="Times New Roman" w:cs="Times New Roman"/>
          <w:sz w:val="24"/>
          <w:szCs w:val="24"/>
        </w:rPr>
        <w:t>,</w:t>
      </w:r>
      <w:r w:rsidRPr="00162185">
        <w:rPr>
          <w:rFonts w:ascii="Times New Roman" w:hAnsi="Times New Roman" w:cs="Times New Roman"/>
          <w:sz w:val="24"/>
          <w:szCs w:val="24"/>
        </w:rPr>
        <w:t xml:space="preserve"> but </w:t>
      </w:r>
      <w:r w:rsidR="00CF1A63" w:rsidRPr="00162185">
        <w:rPr>
          <w:rFonts w:ascii="Times New Roman" w:hAnsi="Times New Roman" w:cs="Times New Roman"/>
          <w:sz w:val="24"/>
          <w:szCs w:val="24"/>
        </w:rPr>
        <w:t>judges</w:t>
      </w:r>
      <w:r w:rsidRPr="00162185">
        <w:rPr>
          <w:rFonts w:ascii="Times New Roman" w:hAnsi="Times New Roman" w:cs="Times New Roman"/>
          <w:sz w:val="24"/>
          <w:szCs w:val="24"/>
        </w:rPr>
        <w:t xml:space="preserve"> may not bargain with government over their compensation. The commission makes a recommendation to </w:t>
      </w:r>
      <w:r w:rsidR="00CF1A63" w:rsidRPr="00162185">
        <w:rPr>
          <w:rFonts w:ascii="Times New Roman" w:hAnsi="Times New Roman" w:cs="Times New Roman"/>
          <w:sz w:val="24"/>
          <w:szCs w:val="24"/>
        </w:rPr>
        <w:t xml:space="preserve">Parliament or </w:t>
      </w:r>
      <w:r w:rsidRPr="00162185">
        <w:rPr>
          <w:rFonts w:ascii="Times New Roman" w:hAnsi="Times New Roman" w:cs="Times New Roman"/>
          <w:sz w:val="24"/>
          <w:szCs w:val="24"/>
        </w:rPr>
        <w:t xml:space="preserve">the </w:t>
      </w:r>
      <w:r w:rsidR="00CF1A63" w:rsidRPr="00162185">
        <w:rPr>
          <w:rFonts w:ascii="Times New Roman" w:hAnsi="Times New Roman" w:cs="Times New Roman"/>
          <w:sz w:val="24"/>
          <w:szCs w:val="24"/>
        </w:rPr>
        <w:t xml:space="preserve">provincial </w:t>
      </w:r>
      <w:r w:rsidRPr="00162185">
        <w:rPr>
          <w:rFonts w:ascii="Times New Roman" w:hAnsi="Times New Roman" w:cs="Times New Roman"/>
          <w:sz w:val="24"/>
          <w:szCs w:val="24"/>
        </w:rPr>
        <w:t>legislature,</w:t>
      </w:r>
      <w:r w:rsidR="00CF1A63" w:rsidRPr="00162185">
        <w:rPr>
          <w:rFonts w:ascii="Times New Roman" w:hAnsi="Times New Roman" w:cs="Times New Roman"/>
          <w:sz w:val="24"/>
          <w:szCs w:val="24"/>
        </w:rPr>
        <w:t xml:space="preserve"> as the case may be. </w:t>
      </w:r>
      <w:r w:rsidR="00272633">
        <w:rPr>
          <w:rFonts w:ascii="Times New Roman" w:hAnsi="Times New Roman" w:cs="Times New Roman"/>
          <w:sz w:val="24"/>
          <w:szCs w:val="24"/>
        </w:rPr>
        <w:t>Parliament or t</w:t>
      </w:r>
      <w:r w:rsidR="00CF1A63" w:rsidRPr="00162185">
        <w:rPr>
          <w:rFonts w:ascii="Times New Roman" w:hAnsi="Times New Roman" w:cs="Times New Roman"/>
          <w:sz w:val="24"/>
          <w:szCs w:val="24"/>
        </w:rPr>
        <w:t xml:space="preserve">he legislature </w:t>
      </w:r>
      <w:r w:rsidRPr="00162185">
        <w:rPr>
          <w:rFonts w:ascii="Times New Roman" w:hAnsi="Times New Roman" w:cs="Times New Roman"/>
          <w:sz w:val="24"/>
          <w:szCs w:val="24"/>
        </w:rPr>
        <w:t xml:space="preserve">is not bound to accept the recommendation, but if it fails to do so it must provide reasons for its decision. The decision is subject to judicial review and may be overturned if it is not reasonable. </w:t>
      </w:r>
      <w:r w:rsidR="001729F1" w:rsidRPr="00162185">
        <w:rPr>
          <w:rFonts w:ascii="Times New Roman" w:hAnsi="Times New Roman" w:cs="Times New Roman"/>
          <w:sz w:val="24"/>
          <w:szCs w:val="24"/>
        </w:rPr>
        <w:t xml:space="preserve"> </w:t>
      </w:r>
      <w:r w:rsidR="00BA60E6" w:rsidRPr="00162185">
        <w:rPr>
          <w:rFonts w:ascii="Times New Roman" w:hAnsi="Times New Roman" w:cs="Times New Roman"/>
          <w:sz w:val="24"/>
          <w:szCs w:val="24"/>
        </w:rPr>
        <w:t xml:space="preserve">There is no constitutional restriction on reducing the remuneration of judges, but any decision to do so must follow the </w:t>
      </w:r>
      <w:r w:rsidR="00317A4A" w:rsidRPr="00162185">
        <w:rPr>
          <w:rFonts w:ascii="Times New Roman" w:hAnsi="Times New Roman" w:cs="Times New Roman"/>
          <w:sz w:val="24"/>
          <w:szCs w:val="24"/>
        </w:rPr>
        <w:lastRenderedPageBreak/>
        <w:t xml:space="preserve">independent </w:t>
      </w:r>
      <w:r w:rsidR="00BA60E6" w:rsidRPr="00162185">
        <w:rPr>
          <w:rFonts w:ascii="Times New Roman" w:hAnsi="Times New Roman" w:cs="Times New Roman"/>
          <w:sz w:val="24"/>
          <w:szCs w:val="24"/>
        </w:rPr>
        <w:t>commission recommendation process and must not single out judges individually or as a class.</w:t>
      </w:r>
      <w:r w:rsidR="006D1DF1">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28"/>
      </w:r>
    </w:p>
    <w:p w:rsidR="00FD14E8" w:rsidRPr="00162185" w:rsidRDefault="00BA60E6"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I </w:t>
      </w:r>
      <w:r w:rsidR="00317A4A" w:rsidRPr="00162185">
        <w:rPr>
          <w:rFonts w:ascii="Times New Roman" w:hAnsi="Times New Roman" w:cs="Times New Roman"/>
          <w:sz w:val="24"/>
          <w:szCs w:val="24"/>
        </w:rPr>
        <w:t xml:space="preserve">am fairly confident in saying that </w:t>
      </w:r>
      <w:r w:rsidRPr="00162185">
        <w:rPr>
          <w:rFonts w:ascii="Times New Roman" w:hAnsi="Times New Roman" w:cs="Times New Roman"/>
          <w:sz w:val="24"/>
          <w:szCs w:val="24"/>
        </w:rPr>
        <w:t xml:space="preserve">most people in the Canadian administrative justice sector would be </w:t>
      </w:r>
      <w:r w:rsidR="00317A4A" w:rsidRPr="00162185">
        <w:rPr>
          <w:rFonts w:ascii="Times New Roman" w:hAnsi="Times New Roman" w:cs="Times New Roman"/>
          <w:sz w:val="24"/>
          <w:szCs w:val="24"/>
        </w:rPr>
        <w:t>thrilled if</w:t>
      </w:r>
      <w:r w:rsidRPr="00162185">
        <w:rPr>
          <w:rFonts w:ascii="Times New Roman" w:hAnsi="Times New Roman" w:cs="Times New Roman"/>
          <w:sz w:val="24"/>
          <w:szCs w:val="24"/>
        </w:rPr>
        <w:t xml:space="preserve"> this type of regime applied to the</w:t>
      </w:r>
      <w:r w:rsidR="00317A4A" w:rsidRPr="00162185">
        <w:rPr>
          <w:rFonts w:ascii="Times New Roman" w:hAnsi="Times New Roman" w:cs="Times New Roman"/>
          <w:sz w:val="24"/>
          <w:szCs w:val="24"/>
        </w:rPr>
        <w:t xml:space="preserve"> establishment of their remuneration, </w:t>
      </w:r>
      <w:r w:rsidRPr="00162185">
        <w:rPr>
          <w:rFonts w:ascii="Times New Roman" w:hAnsi="Times New Roman" w:cs="Times New Roman"/>
          <w:sz w:val="24"/>
          <w:szCs w:val="24"/>
        </w:rPr>
        <w:t xml:space="preserve">but </w:t>
      </w:r>
      <w:r w:rsidR="008B364A" w:rsidRPr="00162185">
        <w:rPr>
          <w:rFonts w:ascii="Times New Roman" w:hAnsi="Times New Roman" w:cs="Times New Roman"/>
          <w:sz w:val="24"/>
          <w:szCs w:val="24"/>
        </w:rPr>
        <w:t xml:space="preserve">I </w:t>
      </w:r>
      <w:r w:rsidR="00317A4A" w:rsidRPr="00162185">
        <w:rPr>
          <w:rFonts w:ascii="Times New Roman" w:hAnsi="Times New Roman" w:cs="Times New Roman"/>
          <w:sz w:val="24"/>
          <w:szCs w:val="24"/>
        </w:rPr>
        <w:t>am equally confident that nobody believes that any government would give this type of arrangement serious consideration.</w:t>
      </w:r>
      <w:r w:rsidR="008B364A" w:rsidRPr="00162185">
        <w:rPr>
          <w:rFonts w:ascii="Times New Roman" w:hAnsi="Times New Roman" w:cs="Times New Roman"/>
          <w:sz w:val="24"/>
          <w:szCs w:val="24"/>
        </w:rPr>
        <w:t xml:space="preserve"> Moreover, I think the contrast between the relatively modest approach take</w:t>
      </w:r>
      <w:r w:rsidR="00A417F6" w:rsidRPr="00162185">
        <w:rPr>
          <w:rFonts w:ascii="Times New Roman" w:hAnsi="Times New Roman" w:cs="Times New Roman"/>
          <w:sz w:val="24"/>
          <w:szCs w:val="24"/>
        </w:rPr>
        <w:t>n</w:t>
      </w:r>
      <w:r w:rsidR="008B364A" w:rsidRPr="00162185">
        <w:rPr>
          <w:rFonts w:ascii="Times New Roman" w:hAnsi="Times New Roman" w:cs="Times New Roman"/>
          <w:sz w:val="24"/>
          <w:szCs w:val="24"/>
        </w:rPr>
        <w:t xml:space="preserve"> to </w:t>
      </w:r>
      <w:r w:rsidR="00A417F6" w:rsidRPr="00162185">
        <w:rPr>
          <w:rFonts w:ascii="Times New Roman" w:hAnsi="Times New Roman" w:cs="Times New Roman"/>
          <w:sz w:val="24"/>
          <w:szCs w:val="24"/>
        </w:rPr>
        <w:t xml:space="preserve">the </w:t>
      </w:r>
      <w:r w:rsidR="008B364A" w:rsidRPr="00162185">
        <w:rPr>
          <w:rFonts w:ascii="Times New Roman" w:hAnsi="Times New Roman" w:cs="Times New Roman"/>
          <w:sz w:val="24"/>
          <w:szCs w:val="24"/>
        </w:rPr>
        <w:t xml:space="preserve">constitutional protection of </w:t>
      </w:r>
      <w:r w:rsidR="00541D97" w:rsidRPr="00162185">
        <w:rPr>
          <w:rFonts w:ascii="Times New Roman" w:hAnsi="Times New Roman" w:cs="Times New Roman"/>
          <w:sz w:val="24"/>
          <w:szCs w:val="24"/>
        </w:rPr>
        <w:t xml:space="preserve">the </w:t>
      </w:r>
      <w:r w:rsidR="008B364A" w:rsidRPr="00162185">
        <w:rPr>
          <w:rFonts w:ascii="Times New Roman" w:hAnsi="Times New Roman" w:cs="Times New Roman"/>
          <w:sz w:val="24"/>
          <w:szCs w:val="24"/>
        </w:rPr>
        <w:t xml:space="preserve">administrative independence </w:t>
      </w:r>
      <w:r w:rsidR="00541D97" w:rsidRPr="00162185">
        <w:rPr>
          <w:rFonts w:ascii="Times New Roman" w:hAnsi="Times New Roman" w:cs="Times New Roman"/>
          <w:sz w:val="24"/>
          <w:szCs w:val="24"/>
        </w:rPr>
        <w:t xml:space="preserve">of courts </w:t>
      </w:r>
      <w:r w:rsidR="008B364A" w:rsidRPr="00162185">
        <w:rPr>
          <w:rFonts w:ascii="Times New Roman" w:hAnsi="Times New Roman" w:cs="Times New Roman"/>
          <w:sz w:val="24"/>
          <w:szCs w:val="24"/>
        </w:rPr>
        <w:t xml:space="preserve">and the robust (some might say extravagant) protection afforded to </w:t>
      </w:r>
      <w:r w:rsidR="00A417F6" w:rsidRPr="00162185">
        <w:rPr>
          <w:rFonts w:ascii="Times New Roman" w:hAnsi="Times New Roman" w:cs="Times New Roman"/>
          <w:sz w:val="24"/>
          <w:szCs w:val="24"/>
        </w:rPr>
        <w:t xml:space="preserve">security of </w:t>
      </w:r>
      <w:r w:rsidR="008B364A" w:rsidRPr="00162185">
        <w:rPr>
          <w:rFonts w:ascii="Times New Roman" w:hAnsi="Times New Roman" w:cs="Times New Roman"/>
          <w:sz w:val="24"/>
          <w:szCs w:val="24"/>
        </w:rPr>
        <w:t xml:space="preserve">judicial remuneration helps to explain why most Canadian commentators tend to be sceptical about the utility of </w:t>
      </w:r>
      <w:r w:rsidR="004650DD" w:rsidRPr="00162185">
        <w:rPr>
          <w:rFonts w:ascii="Times New Roman" w:hAnsi="Times New Roman" w:cs="Times New Roman"/>
          <w:sz w:val="24"/>
          <w:szCs w:val="24"/>
        </w:rPr>
        <w:t xml:space="preserve">attempting to </w:t>
      </w:r>
      <w:r w:rsidR="008B364A" w:rsidRPr="00162185">
        <w:rPr>
          <w:rFonts w:ascii="Times New Roman" w:hAnsi="Times New Roman" w:cs="Times New Roman"/>
          <w:sz w:val="24"/>
          <w:szCs w:val="24"/>
        </w:rPr>
        <w:t>us</w:t>
      </w:r>
      <w:r w:rsidR="004650DD" w:rsidRPr="00162185">
        <w:rPr>
          <w:rFonts w:ascii="Times New Roman" w:hAnsi="Times New Roman" w:cs="Times New Roman"/>
          <w:sz w:val="24"/>
          <w:szCs w:val="24"/>
        </w:rPr>
        <w:t>e</w:t>
      </w:r>
      <w:r w:rsidR="008B364A" w:rsidRPr="00162185">
        <w:rPr>
          <w:rFonts w:ascii="Times New Roman" w:hAnsi="Times New Roman" w:cs="Times New Roman"/>
          <w:sz w:val="24"/>
          <w:szCs w:val="24"/>
        </w:rPr>
        <w:t xml:space="preserve"> judicial independence as </w:t>
      </w:r>
      <w:r w:rsidR="004650DD" w:rsidRPr="00162185">
        <w:rPr>
          <w:rFonts w:ascii="Times New Roman" w:hAnsi="Times New Roman" w:cs="Times New Roman"/>
          <w:sz w:val="24"/>
          <w:szCs w:val="24"/>
        </w:rPr>
        <w:t xml:space="preserve">it is understood in our country as </w:t>
      </w:r>
      <w:r w:rsidR="008B364A" w:rsidRPr="00162185">
        <w:rPr>
          <w:rFonts w:ascii="Times New Roman" w:hAnsi="Times New Roman" w:cs="Times New Roman"/>
          <w:sz w:val="24"/>
          <w:szCs w:val="24"/>
        </w:rPr>
        <w:t xml:space="preserve">a model for tribunal independence. </w:t>
      </w:r>
    </w:p>
    <w:p w:rsidR="008A1EA1" w:rsidRPr="006D1DF1" w:rsidRDefault="008A1EA1" w:rsidP="00162185">
      <w:pPr>
        <w:spacing w:line="360" w:lineRule="auto"/>
        <w:jc w:val="both"/>
        <w:rPr>
          <w:rFonts w:ascii="Times New Roman" w:hAnsi="Times New Roman" w:cs="Times New Roman"/>
          <w:b/>
          <w:sz w:val="24"/>
          <w:szCs w:val="24"/>
        </w:rPr>
      </w:pPr>
      <w:r w:rsidRPr="006D1DF1">
        <w:rPr>
          <w:rFonts w:ascii="Times New Roman" w:hAnsi="Times New Roman" w:cs="Times New Roman"/>
          <w:b/>
          <w:sz w:val="24"/>
          <w:szCs w:val="24"/>
        </w:rPr>
        <w:t>Adjudicative Independence</w:t>
      </w:r>
    </w:p>
    <w:p w:rsidR="00927208" w:rsidRPr="00162185" w:rsidRDefault="00927208"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I think it is fair to say that </w:t>
      </w:r>
      <w:r w:rsidR="00272633" w:rsidRPr="00162185">
        <w:rPr>
          <w:rFonts w:ascii="Times New Roman" w:hAnsi="Times New Roman" w:cs="Times New Roman"/>
          <w:sz w:val="24"/>
          <w:szCs w:val="24"/>
        </w:rPr>
        <w:t xml:space="preserve">in Canada </w:t>
      </w:r>
      <w:r w:rsidRPr="00162185">
        <w:rPr>
          <w:rFonts w:ascii="Times New Roman" w:hAnsi="Times New Roman" w:cs="Times New Roman"/>
          <w:sz w:val="24"/>
          <w:szCs w:val="24"/>
        </w:rPr>
        <w:t>adjudicative independence has historically been addressed using the common law</w:t>
      </w:r>
      <w:r w:rsidR="009C3264" w:rsidRPr="00162185">
        <w:rPr>
          <w:rFonts w:ascii="Times New Roman" w:hAnsi="Times New Roman" w:cs="Times New Roman"/>
          <w:sz w:val="24"/>
          <w:szCs w:val="24"/>
        </w:rPr>
        <w:t>. Nevertheless</w:t>
      </w:r>
      <w:r w:rsidRPr="00162185">
        <w:rPr>
          <w:rFonts w:ascii="Times New Roman" w:hAnsi="Times New Roman" w:cs="Times New Roman"/>
          <w:sz w:val="24"/>
          <w:szCs w:val="24"/>
        </w:rPr>
        <w:t>, I agree with the Report’s observation that there is an increasing t</w:t>
      </w:r>
      <w:r w:rsidR="00A417F6" w:rsidRPr="00162185">
        <w:rPr>
          <w:rFonts w:ascii="Times New Roman" w:hAnsi="Times New Roman" w:cs="Times New Roman"/>
          <w:sz w:val="24"/>
          <w:szCs w:val="24"/>
        </w:rPr>
        <w:t>endency</w:t>
      </w:r>
      <w:r w:rsidRPr="00162185">
        <w:rPr>
          <w:rFonts w:ascii="Times New Roman" w:hAnsi="Times New Roman" w:cs="Times New Roman"/>
          <w:sz w:val="24"/>
          <w:szCs w:val="24"/>
        </w:rPr>
        <w:t xml:space="preserve"> to look for ways to supplement the common law in order to enhance public confidence in the independence and impartiality of tribunal members as they exercise their decision-making functions. As a result, a number of the measures to enhance adjudicative independence identified in the Report have been adopted in Canada as well as in </w:t>
      </w:r>
      <w:r w:rsidR="00A417F6" w:rsidRPr="00162185">
        <w:rPr>
          <w:rFonts w:ascii="Times New Roman" w:hAnsi="Times New Roman" w:cs="Times New Roman"/>
          <w:sz w:val="24"/>
          <w:szCs w:val="24"/>
        </w:rPr>
        <w:t>Australia and New Zealand</w:t>
      </w:r>
      <w:r w:rsidRPr="00162185">
        <w:rPr>
          <w:rFonts w:ascii="Times New Roman" w:hAnsi="Times New Roman" w:cs="Times New Roman"/>
          <w:sz w:val="24"/>
          <w:szCs w:val="24"/>
        </w:rPr>
        <w:t xml:space="preserve">.  </w:t>
      </w:r>
    </w:p>
    <w:p w:rsidR="00CF1A63" w:rsidRPr="00162185" w:rsidRDefault="00927208"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I think this is the case for two </w:t>
      </w:r>
      <w:r w:rsidR="00A417F6" w:rsidRPr="00162185">
        <w:rPr>
          <w:rFonts w:ascii="Times New Roman" w:hAnsi="Times New Roman" w:cs="Times New Roman"/>
          <w:sz w:val="24"/>
          <w:szCs w:val="24"/>
        </w:rPr>
        <w:t xml:space="preserve">main </w:t>
      </w:r>
      <w:r w:rsidRPr="00162185">
        <w:rPr>
          <w:rFonts w:ascii="Times New Roman" w:hAnsi="Times New Roman" w:cs="Times New Roman"/>
          <w:sz w:val="24"/>
          <w:szCs w:val="24"/>
        </w:rPr>
        <w:t xml:space="preserve">reasons. </w:t>
      </w:r>
      <w:r w:rsidR="00542C13" w:rsidRPr="00162185">
        <w:rPr>
          <w:rFonts w:ascii="Times New Roman" w:hAnsi="Times New Roman" w:cs="Times New Roman"/>
          <w:sz w:val="24"/>
          <w:szCs w:val="24"/>
        </w:rPr>
        <w:t>One is that our traditions of deliberative secrecy and testimonial immunity make it very difficult for parties to obtain the evidence on which to challenge a decision on the ground that there has been improper interference</w:t>
      </w:r>
      <w:r w:rsidR="00272633">
        <w:rPr>
          <w:rFonts w:ascii="Times New Roman" w:hAnsi="Times New Roman" w:cs="Times New Roman"/>
          <w:sz w:val="24"/>
          <w:szCs w:val="24"/>
        </w:rPr>
        <w:t xml:space="preserve"> with the adjudicator’s decision</w:t>
      </w:r>
      <w:r w:rsidR="00542C13" w:rsidRPr="00162185">
        <w:rPr>
          <w:rFonts w:ascii="Times New Roman" w:hAnsi="Times New Roman" w:cs="Times New Roman"/>
          <w:sz w:val="24"/>
          <w:szCs w:val="24"/>
        </w:rPr>
        <w:t xml:space="preserve">. While there are good reasons for these doctrines, and some basis for confidence in the </w:t>
      </w:r>
      <w:r w:rsidR="0083169B" w:rsidRPr="00162185">
        <w:rPr>
          <w:rFonts w:ascii="Times New Roman" w:hAnsi="Times New Roman" w:cs="Times New Roman"/>
          <w:sz w:val="24"/>
          <w:szCs w:val="24"/>
        </w:rPr>
        <w:t xml:space="preserve">willingness of adjudicators to bring </w:t>
      </w:r>
      <w:r w:rsidR="00CF1A63" w:rsidRPr="00162185">
        <w:rPr>
          <w:rFonts w:ascii="Times New Roman" w:hAnsi="Times New Roman" w:cs="Times New Roman"/>
          <w:sz w:val="24"/>
          <w:szCs w:val="24"/>
        </w:rPr>
        <w:t xml:space="preserve">to light </w:t>
      </w:r>
      <w:r w:rsidR="0083169B" w:rsidRPr="00162185">
        <w:rPr>
          <w:rFonts w:ascii="Times New Roman" w:hAnsi="Times New Roman" w:cs="Times New Roman"/>
          <w:sz w:val="24"/>
          <w:szCs w:val="24"/>
        </w:rPr>
        <w:t>improper efforts to interfere in their de</w:t>
      </w:r>
      <w:r w:rsidR="00077F07">
        <w:rPr>
          <w:rFonts w:ascii="Times New Roman" w:hAnsi="Times New Roman" w:cs="Times New Roman"/>
          <w:sz w:val="24"/>
          <w:szCs w:val="24"/>
        </w:rPr>
        <w:t>liberations</w:t>
      </w:r>
      <w:r w:rsidR="0083169B" w:rsidRPr="00162185">
        <w:rPr>
          <w:rFonts w:ascii="Times New Roman" w:hAnsi="Times New Roman" w:cs="Times New Roman"/>
          <w:sz w:val="24"/>
          <w:szCs w:val="24"/>
        </w:rPr>
        <w:t xml:space="preserve">, </w:t>
      </w:r>
      <w:r w:rsidR="00542C13" w:rsidRPr="00162185">
        <w:rPr>
          <w:rFonts w:ascii="Times New Roman" w:hAnsi="Times New Roman" w:cs="Times New Roman"/>
          <w:sz w:val="24"/>
          <w:szCs w:val="24"/>
        </w:rPr>
        <w:t>I think it is fair to say</w:t>
      </w:r>
      <w:r w:rsidR="0083169B" w:rsidRPr="00162185">
        <w:rPr>
          <w:rFonts w:ascii="Times New Roman" w:hAnsi="Times New Roman" w:cs="Times New Roman"/>
          <w:sz w:val="24"/>
          <w:szCs w:val="24"/>
        </w:rPr>
        <w:t xml:space="preserve"> that Canadian tribunals and policy-makers are increasingly persuaded that it is desirable to take positive steps to reinforce the legal commitment to </w:t>
      </w:r>
      <w:r w:rsidR="00A417F6" w:rsidRPr="00162185">
        <w:rPr>
          <w:rFonts w:ascii="Times New Roman" w:hAnsi="Times New Roman" w:cs="Times New Roman"/>
          <w:sz w:val="24"/>
          <w:szCs w:val="24"/>
        </w:rPr>
        <w:t xml:space="preserve">independent and </w:t>
      </w:r>
      <w:r w:rsidR="0083169B" w:rsidRPr="00162185">
        <w:rPr>
          <w:rFonts w:ascii="Times New Roman" w:hAnsi="Times New Roman" w:cs="Times New Roman"/>
          <w:sz w:val="24"/>
          <w:szCs w:val="24"/>
        </w:rPr>
        <w:t xml:space="preserve">impartial adjudication. </w:t>
      </w:r>
    </w:p>
    <w:p w:rsidR="00A32522" w:rsidRPr="00162185" w:rsidRDefault="0083169B"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 second is that </w:t>
      </w:r>
      <w:r w:rsidR="00A417F6" w:rsidRPr="00162185">
        <w:rPr>
          <w:rFonts w:ascii="Times New Roman" w:hAnsi="Times New Roman" w:cs="Times New Roman"/>
          <w:sz w:val="24"/>
          <w:szCs w:val="24"/>
        </w:rPr>
        <w:t xml:space="preserve">key common law doctrines such as the </w:t>
      </w:r>
      <w:r w:rsidRPr="00162185">
        <w:rPr>
          <w:rFonts w:ascii="Times New Roman" w:hAnsi="Times New Roman" w:cs="Times New Roman"/>
          <w:sz w:val="24"/>
          <w:szCs w:val="24"/>
        </w:rPr>
        <w:t>“reasonable apprehension of bias” test</w:t>
      </w:r>
      <w:r w:rsidR="00CF1A63" w:rsidRPr="00162185">
        <w:rPr>
          <w:rFonts w:ascii="Times New Roman" w:hAnsi="Times New Roman" w:cs="Times New Roman"/>
          <w:sz w:val="24"/>
          <w:szCs w:val="24"/>
        </w:rPr>
        <w:t xml:space="preserve">, which in Canada addresses the impartiality of both tribunal members and judges, </w:t>
      </w:r>
      <w:r w:rsidR="00A417F6" w:rsidRPr="00162185">
        <w:rPr>
          <w:rFonts w:ascii="Times New Roman" w:hAnsi="Times New Roman" w:cs="Times New Roman"/>
          <w:sz w:val="24"/>
          <w:szCs w:val="24"/>
        </w:rPr>
        <w:t>are often</w:t>
      </w:r>
      <w:r w:rsidRPr="00162185">
        <w:rPr>
          <w:rFonts w:ascii="Times New Roman" w:hAnsi="Times New Roman" w:cs="Times New Roman"/>
          <w:sz w:val="24"/>
          <w:szCs w:val="24"/>
        </w:rPr>
        <w:t xml:space="preserve"> notoriously difficult to apply in marginal cases. </w:t>
      </w:r>
      <w:r w:rsidR="00A417F6" w:rsidRPr="00162185">
        <w:rPr>
          <w:rFonts w:ascii="Times New Roman" w:hAnsi="Times New Roman" w:cs="Times New Roman"/>
          <w:sz w:val="24"/>
          <w:szCs w:val="24"/>
        </w:rPr>
        <w:t xml:space="preserve">With the support of the Canadian </w:t>
      </w:r>
      <w:r w:rsidR="00A417F6" w:rsidRPr="00162185">
        <w:rPr>
          <w:rFonts w:ascii="Times New Roman" w:hAnsi="Times New Roman" w:cs="Times New Roman"/>
          <w:sz w:val="24"/>
          <w:szCs w:val="24"/>
        </w:rPr>
        <w:lastRenderedPageBreak/>
        <w:t>Association of Provincial Court Judges, m</w:t>
      </w:r>
      <w:r w:rsidRPr="00162185">
        <w:rPr>
          <w:rFonts w:ascii="Times New Roman" w:hAnsi="Times New Roman" w:cs="Times New Roman"/>
          <w:sz w:val="24"/>
          <w:szCs w:val="24"/>
        </w:rPr>
        <w:t xml:space="preserve">y colleague </w:t>
      </w:r>
      <w:proofErr w:type="spellStart"/>
      <w:r w:rsidRPr="00162185">
        <w:rPr>
          <w:rFonts w:ascii="Times New Roman" w:hAnsi="Times New Roman" w:cs="Times New Roman"/>
          <w:sz w:val="24"/>
          <w:szCs w:val="24"/>
        </w:rPr>
        <w:t>Jula</w:t>
      </w:r>
      <w:proofErr w:type="spellEnd"/>
      <w:r w:rsidRPr="00162185">
        <w:rPr>
          <w:rFonts w:ascii="Times New Roman" w:hAnsi="Times New Roman" w:cs="Times New Roman"/>
          <w:sz w:val="24"/>
          <w:szCs w:val="24"/>
        </w:rPr>
        <w:t xml:space="preserve"> Hughes and I did </w:t>
      </w:r>
      <w:r w:rsidR="00A417F6" w:rsidRPr="00162185">
        <w:rPr>
          <w:rFonts w:ascii="Times New Roman" w:hAnsi="Times New Roman" w:cs="Times New Roman"/>
          <w:sz w:val="24"/>
          <w:szCs w:val="24"/>
        </w:rPr>
        <w:t>a survey of 137 Canadian provincial and territorial judges concerning the</w:t>
      </w:r>
      <w:r w:rsidR="002026B5">
        <w:rPr>
          <w:rFonts w:ascii="Times New Roman" w:hAnsi="Times New Roman" w:cs="Times New Roman"/>
          <w:sz w:val="24"/>
          <w:szCs w:val="24"/>
        </w:rPr>
        <w:t>ir</w:t>
      </w:r>
      <w:r w:rsidR="00A417F6" w:rsidRPr="00162185">
        <w:rPr>
          <w:rFonts w:ascii="Times New Roman" w:hAnsi="Times New Roman" w:cs="Times New Roman"/>
          <w:sz w:val="24"/>
          <w:szCs w:val="24"/>
        </w:rPr>
        <w:t xml:space="preserve"> experience with and attitudes toward recusal and disqualification. The answers the judges gave to whether or no they would recuse themselves in 32 relatively common but analytically marginal scenarios (situations involving social relationships with counsel, social relationships with parties and witnesses and previous encounters with parties in related or unrelated litigation) </w:t>
      </w:r>
      <w:r w:rsidRPr="00162185">
        <w:rPr>
          <w:rFonts w:ascii="Times New Roman" w:hAnsi="Times New Roman" w:cs="Times New Roman"/>
          <w:sz w:val="24"/>
          <w:szCs w:val="24"/>
        </w:rPr>
        <w:t>revealed significant differences of opinion</w:t>
      </w:r>
      <w:r w:rsidR="00A417F6" w:rsidRPr="00162185">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29"/>
      </w:r>
      <w:r w:rsidR="006D1DF1">
        <w:rPr>
          <w:rFonts w:ascii="Times New Roman" w:hAnsi="Times New Roman" w:cs="Times New Roman"/>
          <w:sz w:val="24"/>
          <w:szCs w:val="24"/>
        </w:rPr>
        <w:t xml:space="preserve"> </w:t>
      </w:r>
      <w:r w:rsidR="00E35B17" w:rsidRPr="00162185">
        <w:rPr>
          <w:rFonts w:ascii="Times New Roman" w:hAnsi="Times New Roman" w:cs="Times New Roman"/>
          <w:sz w:val="24"/>
          <w:szCs w:val="24"/>
        </w:rPr>
        <w:t xml:space="preserve">The more precise articulation of standards in documents such as codes of conduct and conflict of interest guidelines </w:t>
      </w:r>
      <w:r w:rsidR="00240E06" w:rsidRPr="00162185">
        <w:rPr>
          <w:rFonts w:ascii="Times New Roman" w:hAnsi="Times New Roman" w:cs="Times New Roman"/>
          <w:sz w:val="24"/>
          <w:szCs w:val="24"/>
        </w:rPr>
        <w:t xml:space="preserve">can </w:t>
      </w:r>
      <w:r w:rsidR="00E35B17" w:rsidRPr="00162185">
        <w:rPr>
          <w:rFonts w:ascii="Times New Roman" w:hAnsi="Times New Roman" w:cs="Times New Roman"/>
          <w:sz w:val="24"/>
          <w:szCs w:val="24"/>
        </w:rPr>
        <w:t xml:space="preserve">be useful to focus the attention of adjudicators on what types of conduct </w:t>
      </w:r>
      <w:r w:rsidR="00A417F6" w:rsidRPr="00162185">
        <w:rPr>
          <w:rFonts w:ascii="Times New Roman" w:hAnsi="Times New Roman" w:cs="Times New Roman"/>
          <w:sz w:val="24"/>
          <w:szCs w:val="24"/>
        </w:rPr>
        <w:t xml:space="preserve">or potential conflicts of interest </w:t>
      </w:r>
      <w:r w:rsidR="00E35B17" w:rsidRPr="00162185">
        <w:rPr>
          <w:rFonts w:ascii="Times New Roman" w:hAnsi="Times New Roman" w:cs="Times New Roman"/>
          <w:sz w:val="24"/>
          <w:szCs w:val="24"/>
        </w:rPr>
        <w:t>are</w:t>
      </w:r>
      <w:r w:rsidR="009C3264" w:rsidRPr="00162185">
        <w:rPr>
          <w:rFonts w:ascii="Times New Roman" w:hAnsi="Times New Roman" w:cs="Times New Roman"/>
          <w:sz w:val="24"/>
          <w:szCs w:val="24"/>
        </w:rPr>
        <w:t xml:space="preserve"> and are not</w:t>
      </w:r>
      <w:r w:rsidR="00E35B17" w:rsidRPr="00162185">
        <w:rPr>
          <w:rFonts w:ascii="Times New Roman" w:hAnsi="Times New Roman" w:cs="Times New Roman"/>
          <w:sz w:val="24"/>
          <w:szCs w:val="24"/>
        </w:rPr>
        <w:t xml:space="preserve"> acceptable</w:t>
      </w:r>
      <w:r w:rsidR="008F0121" w:rsidRPr="00162185">
        <w:rPr>
          <w:rFonts w:ascii="Times New Roman" w:hAnsi="Times New Roman" w:cs="Times New Roman"/>
          <w:sz w:val="24"/>
          <w:szCs w:val="24"/>
        </w:rPr>
        <w:t xml:space="preserve">. In addition, they can help to offer </w:t>
      </w:r>
      <w:r w:rsidR="00E35B17" w:rsidRPr="00162185">
        <w:rPr>
          <w:rFonts w:ascii="Times New Roman" w:hAnsi="Times New Roman" w:cs="Times New Roman"/>
          <w:sz w:val="24"/>
          <w:szCs w:val="24"/>
        </w:rPr>
        <w:t xml:space="preserve">guidance to parties on where the tribunal proposes to draw the line </w:t>
      </w:r>
      <w:r w:rsidR="008F0121" w:rsidRPr="00162185">
        <w:rPr>
          <w:rFonts w:ascii="Times New Roman" w:hAnsi="Times New Roman" w:cs="Times New Roman"/>
          <w:sz w:val="24"/>
          <w:szCs w:val="24"/>
        </w:rPr>
        <w:t>in marginal cases</w:t>
      </w:r>
      <w:r w:rsidR="00E35B17" w:rsidRPr="00162185">
        <w:rPr>
          <w:rFonts w:ascii="Times New Roman" w:hAnsi="Times New Roman" w:cs="Times New Roman"/>
          <w:sz w:val="24"/>
          <w:szCs w:val="24"/>
        </w:rPr>
        <w:t xml:space="preserve">. </w:t>
      </w:r>
    </w:p>
    <w:p w:rsidR="009C3264" w:rsidRPr="00162185" w:rsidRDefault="009C3264"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While </w:t>
      </w:r>
      <w:r w:rsidR="00327D2A" w:rsidRPr="00162185">
        <w:rPr>
          <w:rFonts w:ascii="Times New Roman" w:hAnsi="Times New Roman" w:cs="Times New Roman"/>
          <w:sz w:val="24"/>
          <w:szCs w:val="24"/>
        </w:rPr>
        <w:t>I think there is common ground in Canada and Australia and New Zealand concerning the desirability of developing codes of conduct to help articulate the expectations we have of tribunal members in t</w:t>
      </w:r>
      <w:r w:rsidR="00606577" w:rsidRPr="00162185">
        <w:rPr>
          <w:rFonts w:ascii="Times New Roman" w:hAnsi="Times New Roman" w:cs="Times New Roman"/>
          <w:sz w:val="24"/>
          <w:szCs w:val="24"/>
        </w:rPr>
        <w:t>he performance of their duties</w:t>
      </w:r>
      <w:r w:rsidRPr="00162185">
        <w:rPr>
          <w:rFonts w:ascii="Times New Roman" w:hAnsi="Times New Roman" w:cs="Times New Roman"/>
          <w:sz w:val="24"/>
          <w:szCs w:val="24"/>
        </w:rPr>
        <w:t xml:space="preserve">, I feel that it would have been useful for the Report to focus a bit more </w:t>
      </w:r>
      <w:r w:rsidR="008F0121" w:rsidRPr="00162185">
        <w:rPr>
          <w:rFonts w:ascii="Times New Roman" w:hAnsi="Times New Roman" w:cs="Times New Roman"/>
          <w:sz w:val="24"/>
          <w:szCs w:val="24"/>
        </w:rPr>
        <w:t xml:space="preserve">attention </w:t>
      </w:r>
      <w:r w:rsidRPr="00162185">
        <w:rPr>
          <w:rFonts w:ascii="Times New Roman" w:hAnsi="Times New Roman" w:cs="Times New Roman"/>
          <w:sz w:val="24"/>
          <w:szCs w:val="24"/>
        </w:rPr>
        <w:t xml:space="preserve">on the balance between adjudicative independence and the responsibility of tribunal members to the parties and the tribunal for effective performance of their adjudicative duties. While this is obviously a sensitive topic, my sense is that Canadian thinking is evolving in the direction of a belief that tribunals need to take a much more pro-active approach to the development and enforcement of reasonable performance standards and to helping members improve their performance. In any organization bad systems of performance </w:t>
      </w:r>
      <w:r w:rsidR="00077F07">
        <w:rPr>
          <w:rFonts w:ascii="Times New Roman" w:hAnsi="Times New Roman" w:cs="Times New Roman"/>
          <w:sz w:val="24"/>
          <w:szCs w:val="24"/>
        </w:rPr>
        <w:t>review</w:t>
      </w:r>
      <w:r w:rsidRPr="00162185">
        <w:rPr>
          <w:rFonts w:ascii="Times New Roman" w:hAnsi="Times New Roman" w:cs="Times New Roman"/>
          <w:sz w:val="24"/>
          <w:szCs w:val="24"/>
        </w:rPr>
        <w:t xml:space="preserve">, or good systems that are badly implemented, can be counterproductive. And it is only fair to observe that a significant element of the proper design and implementation of performance assessment in tribunals is ensuring that performance </w:t>
      </w:r>
      <w:r w:rsidR="00077F07">
        <w:rPr>
          <w:rFonts w:ascii="Times New Roman" w:hAnsi="Times New Roman" w:cs="Times New Roman"/>
          <w:sz w:val="24"/>
          <w:szCs w:val="24"/>
        </w:rPr>
        <w:t>review</w:t>
      </w:r>
      <w:r w:rsidRPr="00162185">
        <w:rPr>
          <w:rFonts w:ascii="Times New Roman" w:hAnsi="Times New Roman" w:cs="Times New Roman"/>
          <w:sz w:val="24"/>
          <w:szCs w:val="24"/>
        </w:rPr>
        <w:t xml:space="preserve"> does not interfere with the adjudicative independence of members. </w:t>
      </w:r>
      <w:r w:rsidR="001509D3" w:rsidRPr="00162185">
        <w:rPr>
          <w:rFonts w:ascii="Times New Roman" w:hAnsi="Times New Roman" w:cs="Times New Roman"/>
          <w:sz w:val="24"/>
          <w:szCs w:val="24"/>
        </w:rPr>
        <w:t>In 1995 t</w:t>
      </w:r>
      <w:r w:rsidRPr="00162185">
        <w:rPr>
          <w:rFonts w:ascii="Times New Roman" w:hAnsi="Times New Roman" w:cs="Times New Roman"/>
          <w:sz w:val="24"/>
          <w:szCs w:val="24"/>
        </w:rPr>
        <w:t xml:space="preserve">he Society of Ontario Adjudicators and Regulators </w:t>
      </w:r>
      <w:r w:rsidR="008F0121" w:rsidRPr="00162185">
        <w:rPr>
          <w:rFonts w:ascii="Times New Roman" w:hAnsi="Times New Roman" w:cs="Times New Roman"/>
          <w:sz w:val="24"/>
          <w:szCs w:val="24"/>
        </w:rPr>
        <w:t xml:space="preserve">(“SOAR”) </w:t>
      </w:r>
      <w:r w:rsidRPr="00162185">
        <w:rPr>
          <w:rFonts w:ascii="Times New Roman" w:hAnsi="Times New Roman" w:cs="Times New Roman"/>
          <w:sz w:val="24"/>
          <w:szCs w:val="24"/>
        </w:rPr>
        <w:t>did a commendable job in producing a Manual on Performance Management in Ontario’s Administrative Justice Tribunals that is still available on SOAR’s website</w:t>
      </w:r>
      <w:r w:rsidR="001509D3" w:rsidRPr="00162185">
        <w:rPr>
          <w:rFonts w:ascii="Times New Roman" w:hAnsi="Times New Roman" w:cs="Times New Roman"/>
          <w:sz w:val="24"/>
          <w:szCs w:val="24"/>
        </w:rPr>
        <w:t>.</w:t>
      </w:r>
      <w:r w:rsidR="006D1DF1">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30"/>
      </w:r>
      <w:r w:rsidR="001509D3" w:rsidRPr="00162185">
        <w:rPr>
          <w:rFonts w:ascii="Times New Roman" w:hAnsi="Times New Roman" w:cs="Times New Roman"/>
          <w:sz w:val="24"/>
          <w:szCs w:val="24"/>
        </w:rPr>
        <w:t xml:space="preserve"> The Manual goes into some detail </w:t>
      </w:r>
      <w:r w:rsidR="008F0121" w:rsidRPr="00162185">
        <w:rPr>
          <w:rFonts w:ascii="Times New Roman" w:hAnsi="Times New Roman" w:cs="Times New Roman"/>
          <w:sz w:val="24"/>
          <w:szCs w:val="24"/>
        </w:rPr>
        <w:t xml:space="preserve">on </w:t>
      </w:r>
      <w:r w:rsidR="001509D3" w:rsidRPr="00162185">
        <w:rPr>
          <w:rFonts w:ascii="Times New Roman" w:hAnsi="Times New Roman" w:cs="Times New Roman"/>
          <w:sz w:val="24"/>
          <w:szCs w:val="24"/>
        </w:rPr>
        <w:t xml:space="preserve">the design and implementation of performance </w:t>
      </w:r>
      <w:r w:rsidR="008F0121" w:rsidRPr="00162185">
        <w:rPr>
          <w:rFonts w:ascii="Times New Roman" w:hAnsi="Times New Roman" w:cs="Times New Roman"/>
          <w:sz w:val="24"/>
          <w:szCs w:val="24"/>
        </w:rPr>
        <w:t>assessment</w:t>
      </w:r>
      <w:r w:rsidR="001509D3" w:rsidRPr="00162185">
        <w:rPr>
          <w:rFonts w:ascii="Times New Roman" w:hAnsi="Times New Roman" w:cs="Times New Roman"/>
          <w:sz w:val="24"/>
          <w:szCs w:val="24"/>
        </w:rPr>
        <w:t xml:space="preserve"> systems and I </w:t>
      </w:r>
      <w:r w:rsidR="008F0121" w:rsidRPr="00162185">
        <w:rPr>
          <w:rFonts w:ascii="Times New Roman" w:hAnsi="Times New Roman" w:cs="Times New Roman"/>
          <w:sz w:val="24"/>
          <w:szCs w:val="24"/>
        </w:rPr>
        <w:t xml:space="preserve">would </w:t>
      </w:r>
      <w:r w:rsidR="001509D3" w:rsidRPr="00162185">
        <w:rPr>
          <w:rFonts w:ascii="Times New Roman" w:hAnsi="Times New Roman" w:cs="Times New Roman"/>
          <w:sz w:val="24"/>
          <w:szCs w:val="24"/>
        </w:rPr>
        <w:t xml:space="preserve">suggest that it could </w:t>
      </w:r>
      <w:r w:rsidR="008F0121" w:rsidRPr="00162185">
        <w:rPr>
          <w:rFonts w:ascii="Times New Roman" w:hAnsi="Times New Roman" w:cs="Times New Roman"/>
          <w:sz w:val="24"/>
          <w:szCs w:val="24"/>
        </w:rPr>
        <w:t xml:space="preserve">productively </w:t>
      </w:r>
      <w:r w:rsidR="001509D3" w:rsidRPr="00162185">
        <w:rPr>
          <w:rFonts w:ascii="Times New Roman" w:hAnsi="Times New Roman" w:cs="Times New Roman"/>
          <w:sz w:val="24"/>
          <w:szCs w:val="24"/>
        </w:rPr>
        <w:t xml:space="preserve">complement the Report’s otherwise useful </w:t>
      </w:r>
      <w:r w:rsidR="001509D3" w:rsidRPr="00162185">
        <w:rPr>
          <w:rFonts w:ascii="Times New Roman" w:hAnsi="Times New Roman" w:cs="Times New Roman"/>
          <w:sz w:val="24"/>
          <w:szCs w:val="24"/>
        </w:rPr>
        <w:lastRenderedPageBreak/>
        <w:t xml:space="preserve">observations on the content of codes of conduct and their relationship to adjudicative independence.  </w:t>
      </w:r>
      <w:r w:rsidRPr="00162185">
        <w:rPr>
          <w:rFonts w:ascii="Times New Roman" w:hAnsi="Times New Roman" w:cs="Times New Roman"/>
          <w:sz w:val="24"/>
          <w:szCs w:val="24"/>
        </w:rPr>
        <w:t xml:space="preserve">         </w:t>
      </w:r>
    </w:p>
    <w:p w:rsidR="00975927" w:rsidRPr="00162185" w:rsidRDefault="008F0121"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A second </w:t>
      </w:r>
      <w:r w:rsidR="001509D3" w:rsidRPr="00162185">
        <w:rPr>
          <w:rFonts w:ascii="Times New Roman" w:hAnsi="Times New Roman" w:cs="Times New Roman"/>
          <w:sz w:val="24"/>
          <w:szCs w:val="24"/>
        </w:rPr>
        <w:t xml:space="preserve">suggestion in the Report that raised some questions for me was the idea of tribunal members having an enhanced duty of disclosure of potential conflicts of interest, and the possibility that </w:t>
      </w:r>
      <w:r w:rsidR="00B14719" w:rsidRPr="00162185">
        <w:rPr>
          <w:rFonts w:ascii="Times New Roman" w:hAnsi="Times New Roman" w:cs="Times New Roman"/>
          <w:sz w:val="24"/>
          <w:szCs w:val="24"/>
        </w:rPr>
        <w:t xml:space="preserve">tribunal members </w:t>
      </w:r>
      <w:r w:rsidR="002026B5">
        <w:rPr>
          <w:rFonts w:ascii="Times New Roman" w:hAnsi="Times New Roman" w:cs="Times New Roman"/>
          <w:sz w:val="24"/>
          <w:szCs w:val="24"/>
        </w:rPr>
        <w:t>sh</w:t>
      </w:r>
      <w:r w:rsidR="002C5920" w:rsidRPr="00162185">
        <w:rPr>
          <w:rFonts w:ascii="Times New Roman" w:hAnsi="Times New Roman" w:cs="Times New Roman"/>
          <w:sz w:val="24"/>
          <w:szCs w:val="24"/>
        </w:rPr>
        <w:t>ould sit in s</w:t>
      </w:r>
      <w:r w:rsidR="002026B5">
        <w:rPr>
          <w:rFonts w:ascii="Times New Roman" w:hAnsi="Times New Roman" w:cs="Times New Roman"/>
          <w:sz w:val="24"/>
          <w:szCs w:val="24"/>
        </w:rPr>
        <w:t>ome</w:t>
      </w:r>
      <w:r w:rsidR="002C5920" w:rsidRPr="00162185">
        <w:rPr>
          <w:rFonts w:ascii="Times New Roman" w:hAnsi="Times New Roman" w:cs="Times New Roman"/>
          <w:sz w:val="24"/>
          <w:szCs w:val="24"/>
        </w:rPr>
        <w:t xml:space="preserve"> circumstances </w:t>
      </w:r>
      <w:r w:rsidRPr="00162185">
        <w:rPr>
          <w:rFonts w:ascii="Times New Roman" w:hAnsi="Times New Roman" w:cs="Times New Roman"/>
          <w:sz w:val="24"/>
          <w:szCs w:val="24"/>
        </w:rPr>
        <w:t xml:space="preserve">only </w:t>
      </w:r>
      <w:r w:rsidR="002C5920" w:rsidRPr="00162185">
        <w:rPr>
          <w:rFonts w:ascii="Times New Roman" w:hAnsi="Times New Roman" w:cs="Times New Roman"/>
          <w:sz w:val="24"/>
          <w:szCs w:val="24"/>
        </w:rPr>
        <w:t>with the agreement of all the parties. Canadian law with respect to impartiality does not impose an obligation on adjudicators to draw to the attention of the parties all circumstances that might be considered to have the potential to give rise to a reasonable apprehension of bias.</w:t>
      </w:r>
      <w:r w:rsidRPr="00162185">
        <w:rPr>
          <w:rFonts w:ascii="Times New Roman" w:hAnsi="Times New Roman" w:cs="Times New Roman"/>
          <w:sz w:val="24"/>
          <w:szCs w:val="24"/>
        </w:rPr>
        <w:t xml:space="preserve"> </w:t>
      </w:r>
      <w:r w:rsidR="0081030D" w:rsidRPr="00162185">
        <w:rPr>
          <w:rFonts w:ascii="Times New Roman" w:hAnsi="Times New Roman" w:cs="Times New Roman"/>
          <w:sz w:val="24"/>
          <w:szCs w:val="24"/>
        </w:rPr>
        <w:t xml:space="preserve">My own view is that if an adjudicator has a serious concern about circumstances </w:t>
      </w:r>
      <w:r w:rsidR="00B0137A" w:rsidRPr="00162185">
        <w:rPr>
          <w:rFonts w:ascii="Times New Roman" w:hAnsi="Times New Roman" w:cs="Times New Roman"/>
          <w:sz w:val="24"/>
          <w:szCs w:val="24"/>
        </w:rPr>
        <w:t xml:space="preserve">that might give rise to a reasonable apprehension of bias it is generally better, if possible, to seek advice from the Chair or an experienced member of the tribunal rather than raising it with the parties. </w:t>
      </w:r>
      <w:r w:rsidR="002C5920" w:rsidRPr="00162185">
        <w:rPr>
          <w:rFonts w:ascii="Times New Roman" w:hAnsi="Times New Roman" w:cs="Times New Roman"/>
          <w:sz w:val="24"/>
          <w:szCs w:val="24"/>
        </w:rPr>
        <w:t xml:space="preserve">Nevertheless, </w:t>
      </w:r>
      <w:r w:rsidR="00B0137A" w:rsidRPr="00162185">
        <w:rPr>
          <w:rFonts w:ascii="Times New Roman" w:hAnsi="Times New Roman" w:cs="Times New Roman"/>
          <w:sz w:val="24"/>
          <w:szCs w:val="24"/>
        </w:rPr>
        <w:t xml:space="preserve">I acknowledge that there are </w:t>
      </w:r>
      <w:r w:rsidR="00330693">
        <w:rPr>
          <w:rFonts w:ascii="Times New Roman" w:hAnsi="Times New Roman" w:cs="Times New Roman"/>
          <w:sz w:val="24"/>
          <w:szCs w:val="24"/>
        </w:rPr>
        <w:t>some</w:t>
      </w:r>
      <w:r w:rsidR="00B0137A" w:rsidRPr="00162185">
        <w:rPr>
          <w:rFonts w:ascii="Times New Roman" w:hAnsi="Times New Roman" w:cs="Times New Roman"/>
          <w:sz w:val="24"/>
          <w:szCs w:val="24"/>
        </w:rPr>
        <w:t xml:space="preserve"> </w:t>
      </w:r>
      <w:r w:rsidR="002C5920" w:rsidRPr="00162185">
        <w:rPr>
          <w:rFonts w:ascii="Times New Roman" w:hAnsi="Times New Roman" w:cs="Times New Roman"/>
          <w:sz w:val="24"/>
          <w:szCs w:val="24"/>
        </w:rPr>
        <w:t xml:space="preserve">cases </w:t>
      </w:r>
      <w:r w:rsidR="00B0137A" w:rsidRPr="00162185">
        <w:rPr>
          <w:rFonts w:ascii="Times New Roman" w:hAnsi="Times New Roman" w:cs="Times New Roman"/>
          <w:sz w:val="24"/>
          <w:szCs w:val="24"/>
        </w:rPr>
        <w:t xml:space="preserve">where </w:t>
      </w:r>
      <w:r w:rsidR="002C5920" w:rsidRPr="00162185">
        <w:rPr>
          <w:rFonts w:ascii="Times New Roman" w:hAnsi="Times New Roman" w:cs="Times New Roman"/>
          <w:sz w:val="24"/>
          <w:szCs w:val="24"/>
        </w:rPr>
        <w:t>disclosure can prove to be useful</w:t>
      </w:r>
      <w:r w:rsidR="00B0137A" w:rsidRPr="00162185">
        <w:rPr>
          <w:rFonts w:ascii="Times New Roman" w:hAnsi="Times New Roman" w:cs="Times New Roman"/>
          <w:sz w:val="24"/>
          <w:szCs w:val="24"/>
        </w:rPr>
        <w:t>, if it is sufficiently complete,</w:t>
      </w:r>
      <w:r w:rsidR="002C5920" w:rsidRPr="00162185">
        <w:rPr>
          <w:rFonts w:ascii="Times New Roman" w:hAnsi="Times New Roman" w:cs="Times New Roman"/>
          <w:sz w:val="24"/>
          <w:szCs w:val="24"/>
        </w:rPr>
        <w:t xml:space="preserve"> and Canadian courts recognize that a party’s right to </w:t>
      </w:r>
      <w:r w:rsidR="00B0137A" w:rsidRPr="00162185">
        <w:rPr>
          <w:rFonts w:ascii="Times New Roman" w:hAnsi="Times New Roman" w:cs="Times New Roman"/>
          <w:sz w:val="24"/>
          <w:szCs w:val="24"/>
        </w:rPr>
        <w:t>bring forward a reasonable apprehension of bias argument on judicial review or appeal</w:t>
      </w:r>
      <w:r w:rsidR="002C5920" w:rsidRPr="00162185">
        <w:rPr>
          <w:rFonts w:ascii="Times New Roman" w:hAnsi="Times New Roman" w:cs="Times New Roman"/>
          <w:sz w:val="24"/>
          <w:szCs w:val="24"/>
        </w:rPr>
        <w:t xml:space="preserve"> may be waived if timely </w:t>
      </w:r>
      <w:r w:rsidR="00B0137A" w:rsidRPr="00162185">
        <w:rPr>
          <w:rFonts w:ascii="Times New Roman" w:hAnsi="Times New Roman" w:cs="Times New Roman"/>
          <w:sz w:val="24"/>
          <w:szCs w:val="24"/>
        </w:rPr>
        <w:t xml:space="preserve">and complete </w:t>
      </w:r>
      <w:r w:rsidR="002C5920" w:rsidRPr="00162185">
        <w:rPr>
          <w:rFonts w:ascii="Times New Roman" w:hAnsi="Times New Roman" w:cs="Times New Roman"/>
          <w:sz w:val="24"/>
          <w:szCs w:val="24"/>
        </w:rPr>
        <w:t xml:space="preserve">disclosure </w:t>
      </w:r>
      <w:r w:rsidR="00B0137A" w:rsidRPr="00162185">
        <w:rPr>
          <w:rFonts w:ascii="Times New Roman" w:hAnsi="Times New Roman" w:cs="Times New Roman"/>
          <w:sz w:val="24"/>
          <w:szCs w:val="24"/>
        </w:rPr>
        <w:t xml:space="preserve">has been </w:t>
      </w:r>
      <w:r w:rsidR="002C5920" w:rsidRPr="00162185">
        <w:rPr>
          <w:rFonts w:ascii="Times New Roman" w:hAnsi="Times New Roman" w:cs="Times New Roman"/>
          <w:sz w:val="24"/>
          <w:szCs w:val="24"/>
        </w:rPr>
        <w:t xml:space="preserve">made and no objection is raised at the </w:t>
      </w:r>
      <w:r w:rsidR="00B0137A" w:rsidRPr="00162185">
        <w:rPr>
          <w:rFonts w:ascii="Times New Roman" w:hAnsi="Times New Roman" w:cs="Times New Roman"/>
          <w:sz w:val="24"/>
          <w:szCs w:val="24"/>
        </w:rPr>
        <w:t>hearing</w:t>
      </w:r>
      <w:r w:rsidR="002C5920" w:rsidRPr="00162185">
        <w:rPr>
          <w:rFonts w:ascii="Times New Roman" w:hAnsi="Times New Roman" w:cs="Times New Roman"/>
          <w:sz w:val="24"/>
          <w:szCs w:val="24"/>
        </w:rPr>
        <w:t>.</w:t>
      </w:r>
      <w:r w:rsidR="00E93C8C">
        <w:rPr>
          <w:rFonts w:ascii="Times New Roman" w:hAnsi="Times New Roman" w:cs="Times New Roman"/>
          <w:sz w:val="24"/>
          <w:szCs w:val="24"/>
        </w:rPr>
        <w:t xml:space="preserve"> </w:t>
      </w:r>
      <w:r w:rsidR="005F319C">
        <w:rPr>
          <w:rStyle w:val="FootnoteReference"/>
          <w:rFonts w:ascii="Times New Roman" w:hAnsi="Times New Roman" w:cs="Times New Roman"/>
          <w:sz w:val="24"/>
          <w:szCs w:val="24"/>
        </w:rPr>
        <w:footnoteReference w:id="31"/>
      </w:r>
      <w:r w:rsidR="002C5920" w:rsidRPr="00162185">
        <w:rPr>
          <w:rFonts w:ascii="Times New Roman" w:hAnsi="Times New Roman" w:cs="Times New Roman"/>
          <w:sz w:val="24"/>
          <w:szCs w:val="24"/>
        </w:rPr>
        <w:t xml:space="preserve"> </w:t>
      </w:r>
      <w:r w:rsidR="00B0137A" w:rsidRPr="00162185">
        <w:rPr>
          <w:rFonts w:ascii="Times New Roman" w:hAnsi="Times New Roman" w:cs="Times New Roman"/>
          <w:sz w:val="24"/>
          <w:szCs w:val="24"/>
        </w:rPr>
        <w:t>Legislation governing s</w:t>
      </w:r>
      <w:r w:rsidR="002C5920" w:rsidRPr="00162185">
        <w:rPr>
          <w:rFonts w:ascii="Times New Roman" w:hAnsi="Times New Roman" w:cs="Times New Roman"/>
          <w:sz w:val="24"/>
          <w:szCs w:val="24"/>
        </w:rPr>
        <w:t>ome American state</w:t>
      </w:r>
      <w:r w:rsidR="00B0137A" w:rsidRPr="00162185">
        <w:rPr>
          <w:rFonts w:ascii="Times New Roman" w:hAnsi="Times New Roman" w:cs="Times New Roman"/>
          <w:sz w:val="24"/>
          <w:szCs w:val="24"/>
        </w:rPr>
        <w:t xml:space="preserve"> court</w:t>
      </w:r>
      <w:r w:rsidR="002C5920" w:rsidRPr="00162185">
        <w:rPr>
          <w:rFonts w:ascii="Times New Roman" w:hAnsi="Times New Roman" w:cs="Times New Roman"/>
          <w:sz w:val="24"/>
          <w:szCs w:val="24"/>
        </w:rPr>
        <w:t xml:space="preserve">s </w:t>
      </w:r>
      <w:r w:rsidR="00B0137A" w:rsidRPr="00162185">
        <w:rPr>
          <w:rFonts w:ascii="Times New Roman" w:hAnsi="Times New Roman" w:cs="Times New Roman"/>
          <w:sz w:val="24"/>
          <w:szCs w:val="24"/>
        </w:rPr>
        <w:t xml:space="preserve">goes further </w:t>
      </w:r>
      <w:r w:rsidR="00330693">
        <w:rPr>
          <w:rFonts w:ascii="Times New Roman" w:hAnsi="Times New Roman" w:cs="Times New Roman"/>
          <w:sz w:val="24"/>
          <w:szCs w:val="24"/>
        </w:rPr>
        <w:t xml:space="preserve">than Canadian law to address party concerns about a potential lack of judicial impartiality by </w:t>
      </w:r>
      <w:r w:rsidR="00975927" w:rsidRPr="00162185">
        <w:rPr>
          <w:rFonts w:ascii="Times New Roman" w:hAnsi="Times New Roman" w:cs="Times New Roman"/>
          <w:sz w:val="24"/>
          <w:szCs w:val="24"/>
        </w:rPr>
        <w:t>giv</w:t>
      </w:r>
      <w:r w:rsidR="00330693">
        <w:rPr>
          <w:rFonts w:ascii="Times New Roman" w:hAnsi="Times New Roman" w:cs="Times New Roman"/>
          <w:sz w:val="24"/>
          <w:szCs w:val="24"/>
        </w:rPr>
        <w:t>ing</w:t>
      </w:r>
      <w:r w:rsidR="00975927" w:rsidRPr="00162185">
        <w:rPr>
          <w:rFonts w:ascii="Times New Roman" w:hAnsi="Times New Roman" w:cs="Times New Roman"/>
          <w:sz w:val="24"/>
          <w:szCs w:val="24"/>
        </w:rPr>
        <w:t xml:space="preserve"> parties a right to issue one </w:t>
      </w:r>
      <w:r w:rsidR="00B0137A" w:rsidRPr="00162185">
        <w:rPr>
          <w:rFonts w:ascii="Times New Roman" w:hAnsi="Times New Roman" w:cs="Times New Roman"/>
          <w:sz w:val="24"/>
          <w:szCs w:val="24"/>
        </w:rPr>
        <w:t>p</w:t>
      </w:r>
      <w:r w:rsidR="00975927" w:rsidRPr="00162185">
        <w:rPr>
          <w:rFonts w:ascii="Times New Roman" w:hAnsi="Times New Roman" w:cs="Times New Roman"/>
          <w:sz w:val="24"/>
          <w:szCs w:val="24"/>
        </w:rPr>
        <w:t>eremptory challenge to the impartiality of a judge who has been assigned to hear a case,</w:t>
      </w:r>
      <w:r w:rsidR="00330693">
        <w:rPr>
          <w:rFonts w:ascii="Times New Roman" w:hAnsi="Times New Roman" w:cs="Times New Roman"/>
          <w:sz w:val="24"/>
          <w:szCs w:val="24"/>
        </w:rPr>
        <w:t xml:space="preserve"> thereby resulting in the judge’s disqualification and the assignment of another judge to hear the case,</w:t>
      </w:r>
      <w:r w:rsidR="00975927" w:rsidRPr="00162185">
        <w:rPr>
          <w:rFonts w:ascii="Times New Roman" w:hAnsi="Times New Roman" w:cs="Times New Roman"/>
          <w:sz w:val="24"/>
          <w:szCs w:val="24"/>
        </w:rPr>
        <w:t xml:space="preserve"> and a number of American commentators have championed the expansion of this right. </w:t>
      </w:r>
      <w:r w:rsidR="006D1DF1">
        <w:rPr>
          <w:rStyle w:val="FootnoteReference"/>
          <w:rFonts w:ascii="Times New Roman" w:hAnsi="Times New Roman" w:cs="Times New Roman"/>
          <w:sz w:val="24"/>
          <w:szCs w:val="24"/>
        </w:rPr>
        <w:footnoteReference w:id="32"/>
      </w:r>
    </w:p>
    <w:p w:rsidR="00937A68" w:rsidRPr="00162185" w:rsidRDefault="00975927"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I tend to be sceptical about the value of expanding the opportunities parties have to challenge the impartiality of the adjudicators who have been assigned to hear their cases. My scepticism does not flow from a</w:t>
      </w:r>
      <w:r w:rsidR="00E93C8C">
        <w:rPr>
          <w:rFonts w:ascii="Times New Roman" w:hAnsi="Times New Roman" w:cs="Times New Roman"/>
          <w:sz w:val="24"/>
          <w:szCs w:val="24"/>
        </w:rPr>
        <w:t>ny</w:t>
      </w:r>
      <w:r w:rsidRPr="00162185">
        <w:rPr>
          <w:rFonts w:ascii="Times New Roman" w:hAnsi="Times New Roman" w:cs="Times New Roman"/>
          <w:sz w:val="24"/>
          <w:szCs w:val="24"/>
        </w:rPr>
        <w:t xml:space="preserve"> doubt about the importance of impartiality or the obligation of adjudicators to strive to be impartial and to behave in a manner that manifests their commitment to impartiality</w:t>
      </w:r>
      <w:r w:rsidR="00077F07">
        <w:rPr>
          <w:rFonts w:ascii="Times New Roman" w:hAnsi="Times New Roman" w:cs="Times New Roman"/>
          <w:sz w:val="24"/>
          <w:szCs w:val="24"/>
        </w:rPr>
        <w:t xml:space="preserve"> and thereby enhances the confidence of parties in the tribunal</w:t>
      </w:r>
      <w:r w:rsidRPr="00162185">
        <w:rPr>
          <w:rFonts w:ascii="Times New Roman" w:hAnsi="Times New Roman" w:cs="Times New Roman"/>
          <w:sz w:val="24"/>
          <w:szCs w:val="24"/>
        </w:rPr>
        <w:t xml:space="preserve">. Rather, </w:t>
      </w:r>
      <w:r w:rsidR="00077F07">
        <w:rPr>
          <w:rFonts w:ascii="Times New Roman" w:hAnsi="Times New Roman" w:cs="Times New Roman"/>
          <w:sz w:val="24"/>
          <w:szCs w:val="24"/>
        </w:rPr>
        <w:t xml:space="preserve">my scepticism </w:t>
      </w:r>
      <w:r w:rsidRPr="00162185">
        <w:rPr>
          <w:rFonts w:ascii="Times New Roman" w:hAnsi="Times New Roman" w:cs="Times New Roman"/>
          <w:sz w:val="24"/>
          <w:szCs w:val="24"/>
        </w:rPr>
        <w:t xml:space="preserve">arises from a belief that making it too easy for parties to remove adjudicators on the basis of idiosyncratic concerns about impartiality undermines the public character of our system of judicial or tribunal adjudication. We do, of course, have systems of commercial and labour arbitration that give parties significant scope to choose their </w:t>
      </w:r>
      <w:r w:rsidR="00D349BE" w:rsidRPr="00162185">
        <w:rPr>
          <w:rFonts w:ascii="Times New Roman" w:hAnsi="Times New Roman" w:cs="Times New Roman"/>
          <w:sz w:val="24"/>
          <w:szCs w:val="24"/>
        </w:rPr>
        <w:t xml:space="preserve">arbitrators and we are generally content to enforce the results of those arbitrations, but I </w:t>
      </w:r>
      <w:r w:rsidR="00D349BE" w:rsidRPr="00162185">
        <w:rPr>
          <w:rFonts w:ascii="Times New Roman" w:hAnsi="Times New Roman" w:cs="Times New Roman"/>
          <w:sz w:val="24"/>
          <w:szCs w:val="24"/>
        </w:rPr>
        <w:lastRenderedPageBreak/>
        <w:t xml:space="preserve">think it is a mistake to treat systems of public adjudication as if they were ones in which the parties have a veto over who is empowered to adjudicate. First, making disqualification too easy </w:t>
      </w:r>
      <w:r w:rsidR="00B0137A" w:rsidRPr="00162185">
        <w:rPr>
          <w:rFonts w:ascii="Times New Roman" w:hAnsi="Times New Roman" w:cs="Times New Roman"/>
          <w:sz w:val="24"/>
          <w:szCs w:val="24"/>
        </w:rPr>
        <w:t>can</w:t>
      </w:r>
      <w:r w:rsidR="00D349BE" w:rsidRPr="00162185">
        <w:rPr>
          <w:rFonts w:ascii="Times New Roman" w:hAnsi="Times New Roman" w:cs="Times New Roman"/>
          <w:sz w:val="24"/>
          <w:szCs w:val="24"/>
        </w:rPr>
        <w:t xml:space="preserve"> disrupt the assignment of work within a tribunal</w:t>
      </w:r>
      <w:r w:rsidR="00B0137A" w:rsidRPr="00162185">
        <w:rPr>
          <w:rFonts w:ascii="Times New Roman" w:hAnsi="Times New Roman" w:cs="Times New Roman"/>
          <w:sz w:val="24"/>
          <w:szCs w:val="24"/>
        </w:rPr>
        <w:t xml:space="preserve"> and cause inconvenience to other parties</w:t>
      </w:r>
      <w:r w:rsidR="00D349BE" w:rsidRPr="00162185">
        <w:rPr>
          <w:rFonts w:ascii="Times New Roman" w:hAnsi="Times New Roman" w:cs="Times New Roman"/>
          <w:sz w:val="24"/>
          <w:szCs w:val="24"/>
        </w:rPr>
        <w:t>. Second, it can facilitate challenges that a</w:t>
      </w:r>
      <w:r w:rsidR="00B0137A" w:rsidRPr="00162185">
        <w:rPr>
          <w:rFonts w:ascii="Times New Roman" w:hAnsi="Times New Roman" w:cs="Times New Roman"/>
          <w:sz w:val="24"/>
          <w:szCs w:val="24"/>
        </w:rPr>
        <w:t>re</w:t>
      </w:r>
      <w:r w:rsidR="00D349BE" w:rsidRPr="00162185">
        <w:rPr>
          <w:rFonts w:ascii="Times New Roman" w:hAnsi="Times New Roman" w:cs="Times New Roman"/>
          <w:sz w:val="24"/>
          <w:szCs w:val="24"/>
        </w:rPr>
        <w:t xml:space="preserve"> made for tactical reasons by parties who have an incentive to </w:t>
      </w:r>
      <w:r w:rsidR="00B0137A" w:rsidRPr="00162185">
        <w:rPr>
          <w:rFonts w:ascii="Times New Roman" w:hAnsi="Times New Roman" w:cs="Times New Roman"/>
          <w:sz w:val="24"/>
          <w:szCs w:val="24"/>
        </w:rPr>
        <w:t xml:space="preserve">prefer </w:t>
      </w:r>
      <w:r w:rsidR="00D349BE" w:rsidRPr="00162185">
        <w:rPr>
          <w:rFonts w:ascii="Times New Roman" w:hAnsi="Times New Roman" w:cs="Times New Roman"/>
          <w:sz w:val="24"/>
          <w:szCs w:val="24"/>
        </w:rPr>
        <w:t xml:space="preserve">delay. Finally, it can be used in discriminatory ways that undermine efforts to enhance diversity in tribunal membership. There is, for example, </w:t>
      </w:r>
      <w:r w:rsidR="00077F07">
        <w:rPr>
          <w:rFonts w:ascii="Times New Roman" w:hAnsi="Times New Roman" w:cs="Times New Roman"/>
          <w:sz w:val="24"/>
          <w:szCs w:val="24"/>
        </w:rPr>
        <w:t xml:space="preserve">some </w:t>
      </w:r>
      <w:r w:rsidR="00D349BE" w:rsidRPr="00162185">
        <w:rPr>
          <w:rFonts w:ascii="Times New Roman" w:hAnsi="Times New Roman" w:cs="Times New Roman"/>
          <w:sz w:val="24"/>
          <w:szCs w:val="24"/>
        </w:rPr>
        <w:t xml:space="preserve">evidence </w:t>
      </w:r>
      <w:r w:rsidR="007A1FAB">
        <w:rPr>
          <w:rFonts w:ascii="Times New Roman" w:hAnsi="Times New Roman" w:cs="Times New Roman"/>
          <w:sz w:val="24"/>
          <w:szCs w:val="24"/>
        </w:rPr>
        <w:t xml:space="preserve">to </w:t>
      </w:r>
      <w:r w:rsidR="00415736">
        <w:rPr>
          <w:rFonts w:ascii="Times New Roman" w:hAnsi="Times New Roman" w:cs="Times New Roman"/>
          <w:sz w:val="24"/>
          <w:szCs w:val="24"/>
        </w:rPr>
        <w:t>suggest that</w:t>
      </w:r>
      <w:r w:rsidR="007A1FAB">
        <w:rPr>
          <w:rFonts w:ascii="Times New Roman" w:hAnsi="Times New Roman" w:cs="Times New Roman"/>
          <w:sz w:val="24"/>
          <w:szCs w:val="24"/>
        </w:rPr>
        <w:t xml:space="preserve"> </w:t>
      </w:r>
      <w:r w:rsidR="00BF436E" w:rsidRPr="00162185">
        <w:rPr>
          <w:rFonts w:ascii="Times New Roman" w:hAnsi="Times New Roman" w:cs="Times New Roman"/>
          <w:sz w:val="24"/>
          <w:szCs w:val="24"/>
        </w:rPr>
        <w:t>peremptory challenges</w:t>
      </w:r>
      <w:r w:rsidR="00B0137A" w:rsidRPr="00162185">
        <w:rPr>
          <w:rFonts w:ascii="Times New Roman" w:hAnsi="Times New Roman" w:cs="Times New Roman"/>
          <w:sz w:val="24"/>
          <w:szCs w:val="24"/>
        </w:rPr>
        <w:t xml:space="preserve"> to </w:t>
      </w:r>
      <w:r w:rsidR="00077F07">
        <w:rPr>
          <w:rFonts w:ascii="Times New Roman" w:hAnsi="Times New Roman" w:cs="Times New Roman"/>
          <w:sz w:val="24"/>
          <w:szCs w:val="24"/>
        </w:rPr>
        <w:t xml:space="preserve">American </w:t>
      </w:r>
      <w:r w:rsidR="00B0137A" w:rsidRPr="00162185">
        <w:rPr>
          <w:rFonts w:ascii="Times New Roman" w:hAnsi="Times New Roman" w:cs="Times New Roman"/>
          <w:sz w:val="24"/>
          <w:szCs w:val="24"/>
        </w:rPr>
        <w:t>judges</w:t>
      </w:r>
      <w:r w:rsidR="007A1FAB">
        <w:rPr>
          <w:rFonts w:ascii="Times New Roman" w:hAnsi="Times New Roman" w:cs="Times New Roman"/>
          <w:sz w:val="24"/>
          <w:szCs w:val="24"/>
        </w:rPr>
        <w:t xml:space="preserve"> </w:t>
      </w:r>
      <w:r w:rsidR="00415736">
        <w:rPr>
          <w:rFonts w:ascii="Times New Roman" w:hAnsi="Times New Roman" w:cs="Times New Roman"/>
          <w:sz w:val="24"/>
          <w:szCs w:val="24"/>
        </w:rPr>
        <w:t xml:space="preserve">are </w:t>
      </w:r>
      <w:r w:rsidR="00E93C8C">
        <w:rPr>
          <w:rFonts w:ascii="Times New Roman" w:hAnsi="Times New Roman" w:cs="Times New Roman"/>
          <w:sz w:val="24"/>
          <w:szCs w:val="24"/>
        </w:rPr>
        <w:t xml:space="preserve">sometimes </w:t>
      </w:r>
      <w:r w:rsidR="007A1FAB">
        <w:rPr>
          <w:rFonts w:ascii="Times New Roman" w:hAnsi="Times New Roman" w:cs="Times New Roman"/>
          <w:sz w:val="24"/>
          <w:szCs w:val="24"/>
        </w:rPr>
        <w:t>use</w:t>
      </w:r>
      <w:r w:rsidR="00415736">
        <w:rPr>
          <w:rFonts w:ascii="Times New Roman" w:hAnsi="Times New Roman" w:cs="Times New Roman"/>
          <w:sz w:val="24"/>
          <w:szCs w:val="24"/>
        </w:rPr>
        <w:t>d for racially discriminatory reasons, typically</w:t>
      </w:r>
      <w:r w:rsidR="00BF436E" w:rsidRPr="00162185">
        <w:rPr>
          <w:rFonts w:ascii="Times New Roman" w:hAnsi="Times New Roman" w:cs="Times New Roman"/>
          <w:sz w:val="24"/>
          <w:szCs w:val="24"/>
        </w:rPr>
        <w:t xml:space="preserve"> to disqualify judges who are </w:t>
      </w:r>
      <w:r w:rsidR="007A1FAB">
        <w:rPr>
          <w:rFonts w:ascii="Times New Roman" w:hAnsi="Times New Roman" w:cs="Times New Roman"/>
          <w:sz w:val="24"/>
          <w:szCs w:val="24"/>
        </w:rPr>
        <w:t>members of minority groups</w:t>
      </w:r>
      <w:r w:rsidR="00BF436E" w:rsidRPr="00162185">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33"/>
      </w:r>
      <w:r w:rsidR="006D1DF1">
        <w:rPr>
          <w:rFonts w:ascii="Times New Roman" w:hAnsi="Times New Roman" w:cs="Times New Roman"/>
          <w:sz w:val="24"/>
          <w:szCs w:val="24"/>
        </w:rPr>
        <w:t xml:space="preserve"> </w:t>
      </w:r>
      <w:r w:rsidR="00BF436E" w:rsidRPr="00162185">
        <w:rPr>
          <w:rFonts w:ascii="Times New Roman" w:hAnsi="Times New Roman" w:cs="Times New Roman"/>
          <w:sz w:val="24"/>
          <w:szCs w:val="24"/>
        </w:rPr>
        <w:t xml:space="preserve">This is not to say that it is always easy to separate the challenges to impartiality that we ought to accept from the ones that we ought to reject, but I am not convinced that enhancing our sensitivity to the views of parties about what should and should not be accepted as a basis for a successful challenge to an adjudicator’s impartiality is </w:t>
      </w:r>
      <w:r w:rsidR="00072C4F">
        <w:rPr>
          <w:rFonts w:ascii="Times New Roman" w:hAnsi="Times New Roman" w:cs="Times New Roman"/>
          <w:sz w:val="24"/>
          <w:szCs w:val="24"/>
        </w:rPr>
        <w:t xml:space="preserve">always </w:t>
      </w:r>
      <w:r w:rsidR="00BF436E" w:rsidRPr="00162185">
        <w:rPr>
          <w:rFonts w:ascii="Times New Roman" w:hAnsi="Times New Roman" w:cs="Times New Roman"/>
          <w:sz w:val="24"/>
          <w:szCs w:val="24"/>
        </w:rPr>
        <w:t xml:space="preserve">a productive way to draw that distinction. </w:t>
      </w:r>
      <w:r w:rsidR="00D349BE" w:rsidRPr="00162185">
        <w:rPr>
          <w:rFonts w:ascii="Times New Roman" w:hAnsi="Times New Roman" w:cs="Times New Roman"/>
          <w:sz w:val="24"/>
          <w:szCs w:val="24"/>
        </w:rPr>
        <w:t xml:space="preserve">  </w:t>
      </w:r>
      <w:r w:rsidRPr="00162185">
        <w:rPr>
          <w:rFonts w:ascii="Times New Roman" w:hAnsi="Times New Roman" w:cs="Times New Roman"/>
          <w:sz w:val="24"/>
          <w:szCs w:val="24"/>
        </w:rPr>
        <w:t xml:space="preserve">  </w:t>
      </w:r>
      <w:r w:rsidR="002C5920" w:rsidRPr="00162185">
        <w:rPr>
          <w:rFonts w:ascii="Times New Roman" w:hAnsi="Times New Roman" w:cs="Times New Roman"/>
          <w:sz w:val="24"/>
          <w:szCs w:val="24"/>
        </w:rPr>
        <w:t xml:space="preserve"> </w:t>
      </w:r>
      <w:r w:rsidR="001509D3" w:rsidRPr="00162185">
        <w:rPr>
          <w:rFonts w:ascii="Times New Roman" w:hAnsi="Times New Roman" w:cs="Times New Roman"/>
          <w:sz w:val="24"/>
          <w:szCs w:val="24"/>
        </w:rPr>
        <w:t xml:space="preserve"> </w:t>
      </w:r>
    </w:p>
    <w:p w:rsidR="00B429B3" w:rsidRPr="00162185" w:rsidRDefault="00937A68"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Finally, my sense is that Canadian </w:t>
      </w:r>
      <w:r w:rsidR="00F851BD" w:rsidRPr="00162185">
        <w:rPr>
          <w:rFonts w:ascii="Times New Roman" w:hAnsi="Times New Roman" w:cs="Times New Roman"/>
          <w:sz w:val="24"/>
          <w:szCs w:val="24"/>
        </w:rPr>
        <w:t>law is a bit more ambivalent about the principle of efficacy than the Report suggests</w:t>
      </w:r>
      <w:r w:rsidR="00B0137A" w:rsidRPr="00162185">
        <w:rPr>
          <w:rFonts w:ascii="Times New Roman" w:hAnsi="Times New Roman" w:cs="Times New Roman"/>
          <w:sz w:val="24"/>
          <w:szCs w:val="24"/>
        </w:rPr>
        <w:t xml:space="preserve"> is appropriate</w:t>
      </w:r>
      <w:r w:rsidR="00F851BD" w:rsidRPr="00162185">
        <w:rPr>
          <w:rFonts w:ascii="Times New Roman" w:hAnsi="Times New Roman" w:cs="Times New Roman"/>
          <w:sz w:val="24"/>
          <w:szCs w:val="24"/>
        </w:rPr>
        <w:t xml:space="preserve">, though the Report’s comments in this area may be more aspirational than a reflection of the </w:t>
      </w:r>
      <w:r w:rsidR="00E93C8C">
        <w:rPr>
          <w:rFonts w:ascii="Times New Roman" w:hAnsi="Times New Roman" w:cs="Times New Roman"/>
          <w:sz w:val="24"/>
          <w:szCs w:val="24"/>
        </w:rPr>
        <w:t xml:space="preserve">current </w:t>
      </w:r>
      <w:r w:rsidR="00F851BD" w:rsidRPr="00162185">
        <w:rPr>
          <w:rFonts w:ascii="Times New Roman" w:hAnsi="Times New Roman" w:cs="Times New Roman"/>
          <w:sz w:val="24"/>
          <w:szCs w:val="24"/>
        </w:rPr>
        <w:t xml:space="preserve">state of the law </w:t>
      </w:r>
      <w:r w:rsidR="00E93C8C">
        <w:rPr>
          <w:rFonts w:ascii="Times New Roman" w:hAnsi="Times New Roman" w:cs="Times New Roman"/>
          <w:sz w:val="24"/>
          <w:szCs w:val="24"/>
        </w:rPr>
        <w:t xml:space="preserve">on </w:t>
      </w:r>
      <w:r w:rsidR="00F851BD" w:rsidRPr="00162185">
        <w:rPr>
          <w:rFonts w:ascii="Times New Roman" w:hAnsi="Times New Roman" w:cs="Times New Roman"/>
          <w:sz w:val="24"/>
          <w:szCs w:val="24"/>
        </w:rPr>
        <w:t xml:space="preserve">this </w:t>
      </w:r>
      <w:r w:rsidR="00E93C8C">
        <w:rPr>
          <w:rFonts w:ascii="Times New Roman" w:hAnsi="Times New Roman" w:cs="Times New Roman"/>
          <w:sz w:val="24"/>
          <w:szCs w:val="24"/>
        </w:rPr>
        <w:t xml:space="preserve">issue in </w:t>
      </w:r>
      <w:r w:rsidR="00B0137A" w:rsidRPr="00162185">
        <w:rPr>
          <w:rFonts w:ascii="Times New Roman" w:hAnsi="Times New Roman" w:cs="Times New Roman"/>
          <w:sz w:val="24"/>
          <w:szCs w:val="24"/>
        </w:rPr>
        <w:t>Australia and New Zealand</w:t>
      </w:r>
      <w:r w:rsidR="00F851BD" w:rsidRPr="00162185">
        <w:rPr>
          <w:rFonts w:ascii="Times New Roman" w:hAnsi="Times New Roman" w:cs="Times New Roman"/>
          <w:sz w:val="24"/>
          <w:szCs w:val="24"/>
        </w:rPr>
        <w:t>. At various times Canadian legislation has made provision for appeals to Cabinet from decisions of regulatory tribunals, though these have been criticized by commentators and in recent years have tended to fall into disfavour.</w:t>
      </w:r>
      <w:r w:rsidR="00072C4F">
        <w:rPr>
          <w:rStyle w:val="FootnoteReference"/>
          <w:rFonts w:ascii="Times New Roman" w:hAnsi="Times New Roman" w:cs="Times New Roman"/>
          <w:sz w:val="24"/>
          <w:szCs w:val="24"/>
        </w:rPr>
        <w:footnoteReference w:id="34"/>
      </w:r>
      <w:r w:rsidR="00F851BD" w:rsidRPr="00162185">
        <w:rPr>
          <w:rFonts w:ascii="Times New Roman" w:hAnsi="Times New Roman" w:cs="Times New Roman"/>
          <w:sz w:val="24"/>
          <w:szCs w:val="24"/>
        </w:rPr>
        <w:t xml:space="preserve"> We also have examples of statutes </w:t>
      </w:r>
      <w:r w:rsidR="00B0137A" w:rsidRPr="00162185">
        <w:rPr>
          <w:rFonts w:ascii="Times New Roman" w:hAnsi="Times New Roman" w:cs="Times New Roman"/>
          <w:sz w:val="24"/>
          <w:szCs w:val="24"/>
        </w:rPr>
        <w:t xml:space="preserve">that </w:t>
      </w:r>
      <w:r w:rsidR="00F851BD" w:rsidRPr="00162185">
        <w:rPr>
          <w:rFonts w:ascii="Times New Roman" w:hAnsi="Times New Roman" w:cs="Times New Roman"/>
          <w:sz w:val="24"/>
          <w:szCs w:val="24"/>
        </w:rPr>
        <w:t>authoriz</w:t>
      </w:r>
      <w:r w:rsidR="00B0137A" w:rsidRPr="00162185">
        <w:rPr>
          <w:rFonts w:ascii="Times New Roman" w:hAnsi="Times New Roman" w:cs="Times New Roman"/>
          <w:sz w:val="24"/>
          <w:szCs w:val="24"/>
        </w:rPr>
        <w:t>e</w:t>
      </w:r>
      <w:r w:rsidR="00F851BD" w:rsidRPr="00162185">
        <w:rPr>
          <w:rFonts w:ascii="Times New Roman" w:hAnsi="Times New Roman" w:cs="Times New Roman"/>
          <w:sz w:val="24"/>
          <w:szCs w:val="24"/>
        </w:rPr>
        <w:t xml:space="preserve"> ministers to issue policy guidelines. There is sometimes a question about whether what the legislation has authorized are true guidelines, which require the preservation of an element of residual discretion</w:t>
      </w:r>
      <w:r w:rsidR="00B0137A" w:rsidRPr="00162185">
        <w:rPr>
          <w:rFonts w:ascii="Times New Roman" w:hAnsi="Times New Roman" w:cs="Times New Roman"/>
          <w:sz w:val="24"/>
          <w:szCs w:val="24"/>
        </w:rPr>
        <w:t xml:space="preserve"> on the part of the adjudicator</w:t>
      </w:r>
      <w:r w:rsidR="00F851BD" w:rsidRPr="00162185">
        <w:rPr>
          <w:rFonts w:ascii="Times New Roman" w:hAnsi="Times New Roman" w:cs="Times New Roman"/>
          <w:sz w:val="24"/>
          <w:szCs w:val="24"/>
        </w:rPr>
        <w:t>,</w:t>
      </w:r>
      <w:r w:rsidR="00072C4F">
        <w:rPr>
          <w:rFonts w:ascii="Times New Roman" w:hAnsi="Times New Roman" w:cs="Times New Roman"/>
          <w:sz w:val="24"/>
          <w:szCs w:val="24"/>
        </w:rPr>
        <w:t xml:space="preserve"> </w:t>
      </w:r>
      <w:r w:rsidR="00CD6DC9">
        <w:rPr>
          <w:rStyle w:val="FootnoteReference"/>
          <w:rFonts w:ascii="Times New Roman" w:hAnsi="Times New Roman" w:cs="Times New Roman"/>
          <w:sz w:val="24"/>
          <w:szCs w:val="24"/>
        </w:rPr>
        <w:footnoteReference w:id="35"/>
      </w:r>
      <w:r w:rsidR="00F851BD" w:rsidRPr="00162185">
        <w:rPr>
          <w:rFonts w:ascii="Times New Roman" w:hAnsi="Times New Roman" w:cs="Times New Roman"/>
          <w:sz w:val="24"/>
          <w:szCs w:val="24"/>
        </w:rPr>
        <w:t xml:space="preserve"> or a form of delegated legislation by the minister, in which case the </w:t>
      </w:r>
      <w:r w:rsidR="002E6D56" w:rsidRPr="00162185">
        <w:rPr>
          <w:rFonts w:ascii="Times New Roman" w:hAnsi="Times New Roman" w:cs="Times New Roman"/>
          <w:sz w:val="24"/>
          <w:szCs w:val="24"/>
        </w:rPr>
        <w:t>“guideline” is treated as if it were a regulation that must be applied by the tribunal as long as it is couched in general terms and falls within the scope of the authority granted to the minister</w:t>
      </w:r>
      <w:r w:rsidR="00F851BD" w:rsidRPr="00162185">
        <w:rPr>
          <w:rFonts w:ascii="Times New Roman" w:hAnsi="Times New Roman" w:cs="Times New Roman"/>
          <w:sz w:val="24"/>
          <w:szCs w:val="24"/>
        </w:rPr>
        <w:t xml:space="preserve">. </w:t>
      </w:r>
      <w:r w:rsidR="006D1DF1">
        <w:rPr>
          <w:rStyle w:val="FootnoteReference"/>
          <w:rFonts w:ascii="Times New Roman" w:hAnsi="Times New Roman" w:cs="Times New Roman"/>
          <w:sz w:val="24"/>
          <w:szCs w:val="24"/>
        </w:rPr>
        <w:footnoteReference w:id="36"/>
      </w:r>
    </w:p>
    <w:p w:rsidR="00327D2A" w:rsidRPr="00162185" w:rsidRDefault="00B429B3"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T</w:t>
      </w:r>
      <w:r w:rsidR="00F851BD" w:rsidRPr="00162185">
        <w:rPr>
          <w:rFonts w:ascii="Times New Roman" w:hAnsi="Times New Roman" w:cs="Times New Roman"/>
          <w:sz w:val="24"/>
          <w:szCs w:val="24"/>
        </w:rPr>
        <w:t xml:space="preserve">he </w:t>
      </w:r>
      <w:r w:rsidR="002E6D56" w:rsidRPr="00162185">
        <w:rPr>
          <w:rFonts w:ascii="Times New Roman" w:hAnsi="Times New Roman" w:cs="Times New Roman"/>
          <w:sz w:val="24"/>
          <w:szCs w:val="24"/>
        </w:rPr>
        <w:t>key issue for us tends to be whether the scheme of executive review or rule</w:t>
      </w:r>
      <w:r w:rsidR="003D6C57">
        <w:rPr>
          <w:rFonts w:ascii="Times New Roman" w:hAnsi="Times New Roman" w:cs="Times New Roman"/>
          <w:sz w:val="24"/>
          <w:szCs w:val="24"/>
        </w:rPr>
        <w:t xml:space="preserve"> or guideline </w:t>
      </w:r>
      <w:r w:rsidR="002E6D56" w:rsidRPr="00162185">
        <w:rPr>
          <w:rFonts w:ascii="Times New Roman" w:hAnsi="Times New Roman" w:cs="Times New Roman"/>
          <w:sz w:val="24"/>
          <w:szCs w:val="24"/>
        </w:rPr>
        <w:t xml:space="preserve">making is transparent on the face of the legislation. </w:t>
      </w:r>
      <w:r w:rsidRPr="00162185">
        <w:rPr>
          <w:rFonts w:ascii="Times New Roman" w:hAnsi="Times New Roman" w:cs="Times New Roman"/>
          <w:sz w:val="24"/>
          <w:szCs w:val="24"/>
        </w:rPr>
        <w:t>I</w:t>
      </w:r>
      <w:r w:rsidR="002E6D56" w:rsidRPr="00162185">
        <w:rPr>
          <w:rFonts w:ascii="Times New Roman" w:hAnsi="Times New Roman" w:cs="Times New Roman"/>
          <w:sz w:val="24"/>
          <w:szCs w:val="24"/>
        </w:rPr>
        <w:t xml:space="preserve">n other words, we object to secret interference in tribunal decisions by executive actors but Canadian law does not object </w:t>
      </w:r>
      <w:r w:rsidR="000A72EF" w:rsidRPr="00162185">
        <w:rPr>
          <w:rFonts w:ascii="Times New Roman" w:hAnsi="Times New Roman" w:cs="Times New Roman"/>
          <w:sz w:val="24"/>
          <w:szCs w:val="24"/>
        </w:rPr>
        <w:t xml:space="preserve">as a matter of general principle </w:t>
      </w:r>
      <w:r w:rsidR="002E6D56" w:rsidRPr="00162185">
        <w:rPr>
          <w:rFonts w:ascii="Times New Roman" w:hAnsi="Times New Roman" w:cs="Times New Roman"/>
          <w:sz w:val="24"/>
          <w:szCs w:val="24"/>
        </w:rPr>
        <w:t xml:space="preserve">to legislation that reserves to executive actors the right to issue guidance </w:t>
      </w:r>
      <w:r w:rsidR="00072C4F">
        <w:rPr>
          <w:rFonts w:ascii="Times New Roman" w:hAnsi="Times New Roman" w:cs="Times New Roman"/>
          <w:sz w:val="24"/>
          <w:szCs w:val="24"/>
        </w:rPr>
        <w:t>in the form of rules or</w:t>
      </w:r>
      <w:r w:rsidRPr="00162185">
        <w:rPr>
          <w:rFonts w:ascii="Times New Roman" w:hAnsi="Times New Roman" w:cs="Times New Roman"/>
          <w:sz w:val="24"/>
          <w:szCs w:val="24"/>
        </w:rPr>
        <w:t xml:space="preserve"> guidelines </w:t>
      </w:r>
      <w:r w:rsidR="002E6D56" w:rsidRPr="00162185">
        <w:rPr>
          <w:rFonts w:ascii="Times New Roman" w:hAnsi="Times New Roman" w:cs="Times New Roman"/>
          <w:sz w:val="24"/>
          <w:szCs w:val="24"/>
        </w:rPr>
        <w:t xml:space="preserve">or </w:t>
      </w:r>
      <w:r w:rsidRPr="00162185">
        <w:rPr>
          <w:rFonts w:ascii="Times New Roman" w:hAnsi="Times New Roman" w:cs="Times New Roman"/>
          <w:sz w:val="24"/>
          <w:szCs w:val="24"/>
        </w:rPr>
        <w:t xml:space="preserve">to </w:t>
      </w:r>
      <w:r w:rsidR="002E6D56" w:rsidRPr="00162185">
        <w:rPr>
          <w:rFonts w:ascii="Times New Roman" w:hAnsi="Times New Roman" w:cs="Times New Roman"/>
          <w:sz w:val="24"/>
          <w:szCs w:val="24"/>
        </w:rPr>
        <w:t xml:space="preserve">make </w:t>
      </w:r>
      <w:r w:rsidR="000A72EF" w:rsidRPr="00162185">
        <w:rPr>
          <w:rFonts w:ascii="Times New Roman" w:hAnsi="Times New Roman" w:cs="Times New Roman"/>
          <w:sz w:val="24"/>
          <w:szCs w:val="24"/>
        </w:rPr>
        <w:t>ultimate</w:t>
      </w:r>
      <w:r w:rsidR="002E6D56" w:rsidRPr="00162185">
        <w:rPr>
          <w:rFonts w:ascii="Times New Roman" w:hAnsi="Times New Roman" w:cs="Times New Roman"/>
          <w:sz w:val="24"/>
          <w:szCs w:val="24"/>
        </w:rPr>
        <w:t xml:space="preserve"> decisions. An interesting </w:t>
      </w:r>
      <w:bookmarkStart w:id="0" w:name="_GoBack"/>
      <w:bookmarkEnd w:id="0"/>
      <w:r w:rsidRPr="00162185">
        <w:rPr>
          <w:rFonts w:ascii="Times New Roman" w:hAnsi="Times New Roman" w:cs="Times New Roman"/>
          <w:sz w:val="24"/>
          <w:szCs w:val="24"/>
        </w:rPr>
        <w:t xml:space="preserve">recent </w:t>
      </w:r>
      <w:r w:rsidR="002E6D56" w:rsidRPr="00162185">
        <w:rPr>
          <w:rFonts w:ascii="Times New Roman" w:hAnsi="Times New Roman" w:cs="Times New Roman"/>
          <w:sz w:val="24"/>
          <w:szCs w:val="24"/>
        </w:rPr>
        <w:t xml:space="preserve">example can be found in </w:t>
      </w:r>
      <w:r w:rsidRPr="00162185">
        <w:rPr>
          <w:rFonts w:ascii="Times New Roman" w:hAnsi="Times New Roman" w:cs="Times New Roman"/>
          <w:sz w:val="24"/>
          <w:szCs w:val="24"/>
        </w:rPr>
        <w:t>the 201</w:t>
      </w:r>
      <w:r w:rsidR="00514B01">
        <w:rPr>
          <w:rFonts w:ascii="Times New Roman" w:hAnsi="Times New Roman" w:cs="Times New Roman"/>
          <w:sz w:val="24"/>
          <w:szCs w:val="24"/>
        </w:rPr>
        <w:t>2</w:t>
      </w:r>
      <w:r w:rsidR="002E6D56" w:rsidRPr="00162185">
        <w:rPr>
          <w:rFonts w:ascii="Times New Roman" w:hAnsi="Times New Roman" w:cs="Times New Roman"/>
          <w:sz w:val="24"/>
          <w:szCs w:val="24"/>
        </w:rPr>
        <w:t xml:space="preserve"> amendments to the </w:t>
      </w:r>
      <w:r w:rsidR="002E6D56" w:rsidRPr="00DD69D8">
        <w:rPr>
          <w:rFonts w:ascii="Times New Roman" w:hAnsi="Times New Roman" w:cs="Times New Roman"/>
          <w:i/>
          <w:sz w:val="24"/>
          <w:szCs w:val="24"/>
        </w:rPr>
        <w:t>National Energy Board Act</w:t>
      </w:r>
      <w:r w:rsidR="002E6D56" w:rsidRPr="00162185">
        <w:rPr>
          <w:rFonts w:ascii="Times New Roman" w:hAnsi="Times New Roman" w:cs="Times New Roman"/>
          <w:sz w:val="24"/>
          <w:szCs w:val="24"/>
        </w:rPr>
        <w:t xml:space="preserve"> </w:t>
      </w:r>
      <w:r w:rsidR="00DD69D8">
        <w:rPr>
          <w:rStyle w:val="FootnoteReference"/>
          <w:rFonts w:ascii="Times New Roman" w:hAnsi="Times New Roman" w:cs="Times New Roman"/>
          <w:sz w:val="24"/>
          <w:szCs w:val="24"/>
        </w:rPr>
        <w:footnoteReference w:id="37"/>
      </w:r>
      <w:r w:rsidR="00DD69D8">
        <w:rPr>
          <w:rFonts w:ascii="Times New Roman" w:hAnsi="Times New Roman" w:cs="Times New Roman"/>
          <w:sz w:val="24"/>
          <w:szCs w:val="24"/>
        </w:rPr>
        <w:t xml:space="preserve"> </w:t>
      </w:r>
      <w:r w:rsidR="002E6D56" w:rsidRPr="00162185">
        <w:rPr>
          <w:rFonts w:ascii="Times New Roman" w:hAnsi="Times New Roman" w:cs="Times New Roman"/>
          <w:sz w:val="24"/>
          <w:szCs w:val="24"/>
        </w:rPr>
        <w:t xml:space="preserve">that change the Board’s role in relation to </w:t>
      </w:r>
      <w:r w:rsidR="000A72EF" w:rsidRPr="00162185">
        <w:rPr>
          <w:rFonts w:ascii="Times New Roman" w:hAnsi="Times New Roman" w:cs="Times New Roman"/>
          <w:sz w:val="24"/>
          <w:szCs w:val="24"/>
        </w:rPr>
        <w:t xml:space="preserve">the authorization of oil and gas </w:t>
      </w:r>
      <w:r w:rsidR="002E6D56" w:rsidRPr="00162185">
        <w:rPr>
          <w:rFonts w:ascii="Times New Roman" w:hAnsi="Times New Roman" w:cs="Times New Roman"/>
          <w:sz w:val="24"/>
          <w:szCs w:val="24"/>
        </w:rPr>
        <w:t>pipeline</w:t>
      </w:r>
      <w:r w:rsidR="00072C4F">
        <w:rPr>
          <w:rFonts w:ascii="Times New Roman" w:hAnsi="Times New Roman" w:cs="Times New Roman"/>
          <w:sz w:val="24"/>
          <w:szCs w:val="24"/>
        </w:rPr>
        <w:t xml:space="preserve"> proposal</w:t>
      </w:r>
      <w:r w:rsidR="002E6D56" w:rsidRPr="00162185">
        <w:rPr>
          <w:rFonts w:ascii="Times New Roman" w:hAnsi="Times New Roman" w:cs="Times New Roman"/>
          <w:sz w:val="24"/>
          <w:szCs w:val="24"/>
        </w:rPr>
        <w:t xml:space="preserve">s </w:t>
      </w:r>
      <w:r w:rsidR="000A72EF" w:rsidRPr="00162185">
        <w:rPr>
          <w:rFonts w:ascii="Times New Roman" w:hAnsi="Times New Roman" w:cs="Times New Roman"/>
          <w:sz w:val="24"/>
          <w:szCs w:val="24"/>
        </w:rPr>
        <w:t xml:space="preserve">from making decisions to giving advice to the Minister. Some critics suggest that this undermines the role of the Board as an independent regulator. On the other hand, other commentators suggest that the new regime enables the Board to give expert advice on the costs, benefits and risks associated with pipeline construction and to give expert guidance on the technical aspects of routing and safety conditions, while placing ultimate authority and accountability for important questions of public policy in the hands of the </w:t>
      </w:r>
      <w:r w:rsidRPr="00162185">
        <w:rPr>
          <w:rFonts w:ascii="Times New Roman" w:hAnsi="Times New Roman" w:cs="Times New Roman"/>
          <w:sz w:val="24"/>
          <w:szCs w:val="24"/>
        </w:rPr>
        <w:t>M</w:t>
      </w:r>
      <w:r w:rsidR="000A72EF" w:rsidRPr="00162185">
        <w:rPr>
          <w:rFonts w:ascii="Times New Roman" w:hAnsi="Times New Roman" w:cs="Times New Roman"/>
          <w:sz w:val="24"/>
          <w:szCs w:val="24"/>
        </w:rPr>
        <w:t xml:space="preserve">inister. </w:t>
      </w:r>
      <w:r w:rsidR="00EE1970">
        <w:rPr>
          <w:rStyle w:val="FootnoteReference"/>
          <w:rFonts w:ascii="Times New Roman" w:hAnsi="Times New Roman" w:cs="Times New Roman"/>
          <w:sz w:val="24"/>
          <w:szCs w:val="24"/>
        </w:rPr>
        <w:footnoteReference w:id="38"/>
      </w:r>
      <w:r w:rsidR="002E6D56" w:rsidRPr="00162185">
        <w:rPr>
          <w:rFonts w:ascii="Times New Roman" w:hAnsi="Times New Roman" w:cs="Times New Roman"/>
          <w:sz w:val="24"/>
          <w:szCs w:val="24"/>
        </w:rPr>
        <w:t xml:space="preserve">  </w:t>
      </w:r>
      <w:r w:rsidR="00F851BD" w:rsidRPr="00162185">
        <w:rPr>
          <w:rFonts w:ascii="Times New Roman" w:hAnsi="Times New Roman" w:cs="Times New Roman"/>
          <w:sz w:val="24"/>
          <w:szCs w:val="24"/>
        </w:rPr>
        <w:t xml:space="preserve"> </w:t>
      </w:r>
      <w:r w:rsidR="001509D3" w:rsidRPr="00162185">
        <w:rPr>
          <w:rFonts w:ascii="Times New Roman" w:hAnsi="Times New Roman" w:cs="Times New Roman"/>
          <w:sz w:val="24"/>
          <w:szCs w:val="24"/>
        </w:rPr>
        <w:t xml:space="preserve"> </w:t>
      </w:r>
    </w:p>
    <w:p w:rsidR="008A1EA1" w:rsidRPr="00DD69D8" w:rsidRDefault="008A1EA1" w:rsidP="00162185">
      <w:pPr>
        <w:spacing w:line="360" w:lineRule="auto"/>
        <w:jc w:val="both"/>
        <w:rPr>
          <w:rFonts w:ascii="Times New Roman" w:hAnsi="Times New Roman" w:cs="Times New Roman"/>
          <w:b/>
          <w:sz w:val="24"/>
          <w:szCs w:val="24"/>
        </w:rPr>
      </w:pPr>
      <w:r w:rsidRPr="00DD69D8">
        <w:rPr>
          <w:rFonts w:ascii="Times New Roman" w:hAnsi="Times New Roman" w:cs="Times New Roman"/>
          <w:b/>
          <w:sz w:val="24"/>
          <w:szCs w:val="24"/>
        </w:rPr>
        <w:t>Conclusion</w:t>
      </w:r>
    </w:p>
    <w:p w:rsidR="008A1EA1" w:rsidRPr="00162185" w:rsidRDefault="00BF436E" w:rsidP="00162185">
      <w:pPr>
        <w:spacing w:line="360" w:lineRule="auto"/>
        <w:jc w:val="both"/>
        <w:rPr>
          <w:rFonts w:ascii="Times New Roman" w:hAnsi="Times New Roman" w:cs="Times New Roman"/>
          <w:sz w:val="24"/>
          <w:szCs w:val="24"/>
        </w:rPr>
      </w:pPr>
      <w:r w:rsidRPr="00162185">
        <w:rPr>
          <w:rFonts w:ascii="Times New Roman" w:hAnsi="Times New Roman" w:cs="Times New Roman"/>
          <w:sz w:val="24"/>
          <w:szCs w:val="24"/>
        </w:rPr>
        <w:t xml:space="preserve">There are undoubtedly other aspects of the Report that we could productively discuss and I would be happy to explore areas that are of interest to you but that I have not touched on in my remarks. That said, I think it would be useful for me to draw my remarks to a close and to open the floor to questions, comments and discussion. I would like to thank you for your attention, and to take this opportunity to congratulate COAT once again on undertaking this project and sponsoring the production of such a </w:t>
      </w:r>
      <w:r w:rsidR="00B429B3" w:rsidRPr="00162185">
        <w:rPr>
          <w:rFonts w:ascii="Times New Roman" w:hAnsi="Times New Roman" w:cs="Times New Roman"/>
          <w:sz w:val="24"/>
          <w:szCs w:val="24"/>
        </w:rPr>
        <w:t xml:space="preserve">useful and </w:t>
      </w:r>
      <w:r w:rsidRPr="00162185">
        <w:rPr>
          <w:rFonts w:ascii="Times New Roman" w:hAnsi="Times New Roman" w:cs="Times New Roman"/>
          <w:sz w:val="24"/>
          <w:szCs w:val="24"/>
        </w:rPr>
        <w:t xml:space="preserve">stimulating report.  </w:t>
      </w:r>
    </w:p>
    <w:sectPr w:rsidR="008A1EA1" w:rsidRPr="001621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3A" w:rsidRDefault="0069543A" w:rsidP="0069543A">
      <w:pPr>
        <w:spacing w:after="0" w:line="240" w:lineRule="auto"/>
      </w:pPr>
      <w:r>
        <w:separator/>
      </w:r>
    </w:p>
  </w:endnote>
  <w:endnote w:type="continuationSeparator" w:id="0">
    <w:p w:rsidR="0069543A" w:rsidRDefault="0069543A" w:rsidP="0069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83487"/>
      <w:docPartObj>
        <w:docPartGallery w:val="Page Numbers (Bottom of Page)"/>
        <w:docPartUnique/>
      </w:docPartObj>
    </w:sdtPr>
    <w:sdtEndPr>
      <w:rPr>
        <w:noProof/>
      </w:rPr>
    </w:sdtEndPr>
    <w:sdtContent>
      <w:p w:rsidR="0069543A" w:rsidRDefault="0069543A">
        <w:pPr>
          <w:pStyle w:val="Footer"/>
          <w:jc w:val="center"/>
        </w:pPr>
        <w:r>
          <w:fldChar w:fldCharType="begin"/>
        </w:r>
        <w:r>
          <w:instrText xml:space="preserve"> PAGE   \* MERGEFORMAT </w:instrText>
        </w:r>
        <w:r>
          <w:fldChar w:fldCharType="separate"/>
        </w:r>
        <w:r w:rsidR="00077F07">
          <w:rPr>
            <w:noProof/>
          </w:rPr>
          <w:t>18</w:t>
        </w:r>
        <w:r>
          <w:rPr>
            <w:noProof/>
          </w:rPr>
          <w:fldChar w:fldCharType="end"/>
        </w:r>
      </w:p>
    </w:sdtContent>
  </w:sdt>
  <w:p w:rsidR="0069543A" w:rsidRDefault="0069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3A" w:rsidRDefault="0069543A" w:rsidP="0069543A">
      <w:pPr>
        <w:spacing w:after="0" w:line="240" w:lineRule="auto"/>
      </w:pPr>
      <w:r>
        <w:separator/>
      </w:r>
    </w:p>
  </w:footnote>
  <w:footnote w:type="continuationSeparator" w:id="0">
    <w:p w:rsidR="0069543A" w:rsidRDefault="0069543A" w:rsidP="0069543A">
      <w:pPr>
        <w:spacing w:after="0" w:line="240" w:lineRule="auto"/>
      </w:pPr>
      <w:r>
        <w:continuationSeparator/>
      </w:r>
    </w:p>
  </w:footnote>
  <w:footnote w:id="1">
    <w:p w:rsidR="00162185" w:rsidRPr="00162185" w:rsidRDefault="00162185" w:rsidP="00B877DA">
      <w:pPr>
        <w:pStyle w:val="FootnoteText"/>
        <w:jc w:val="both"/>
        <w:rPr>
          <w:rFonts w:ascii="Times New Roman" w:hAnsi="Times New Roman" w:cs="Times New Roman"/>
        </w:rPr>
      </w:pPr>
      <w:r w:rsidRPr="00162185">
        <w:rPr>
          <w:rStyle w:val="FootnoteReference"/>
          <w:rFonts w:ascii="Times New Roman" w:hAnsi="Times New Roman" w:cs="Times New Roman"/>
        </w:rPr>
        <w:footnoteRef/>
      </w:r>
      <w:r w:rsidRPr="00162185">
        <w:rPr>
          <w:rFonts w:ascii="Times New Roman" w:hAnsi="Times New Roman" w:cs="Times New Roman"/>
        </w:rPr>
        <w:t xml:space="preserve"> </w:t>
      </w:r>
      <w:proofErr w:type="gramStart"/>
      <w:r w:rsidRPr="00162185">
        <w:rPr>
          <w:rFonts w:ascii="Times New Roman" w:hAnsi="Times New Roman" w:cs="Times New Roman"/>
        </w:rPr>
        <w:t xml:space="preserve">Available online at </w:t>
      </w:r>
      <w:hyperlink r:id="rId1" w:history="1">
        <w:r w:rsidRPr="001534C7">
          <w:rPr>
            <w:rStyle w:val="Hyperlink"/>
            <w:rFonts w:ascii="Times New Roman" w:hAnsi="Times New Roman" w:cs="Times New Roman"/>
          </w:rPr>
          <w:t>http://www.coat.gov.au/images/downloads/tas/Tribunal%20Independence.pdf</w:t>
        </w:r>
      </w:hyperlink>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Hereafter “the Report”.</w:t>
      </w:r>
      <w:proofErr w:type="gramEnd"/>
    </w:p>
  </w:footnote>
  <w:footnote w:id="2">
    <w:p w:rsidR="00D703CB" w:rsidRDefault="00162185" w:rsidP="00B877DA">
      <w:pPr>
        <w:pStyle w:val="FootnoteText"/>
        <w:jc w:val="both"/>
        <w:rPr>
          <w:rFonts w:ascii="Times New Roman" w:hAnsi="Times New Roman" w:cs="Times New Roman"/>
        </w:rPr>
      </w:pPr>
      <w:r w:rsidRPr="00D703CB">
        <w:rPr>
          <w:rStyle w:val="FootnoteReference"/>
          <w:rFonts w:ascii="Times New Roman" w:hAnsi="Times New Roman" w:cs="Times New Roman"/>
        </w:rPr>
        <w:footnoteRef/>
      </w:r>
      <w:r w:rsidRPr="00D703CB">
        <w:rPr>
          <w:rFonts w:ascii="Times New Roman" w:hAnsi="Times New Roman" w:cs="Times New Roman"/>
        </w:rPr>
        <w:t xml:space="preserve"> </w:t>
      </w:r>
      <w:r w:rsidR="00D703CB">
        <w:rPr>
          <w:rFonts w:ascii="Times New Roman" w:hAnsi="Times New Roman" w:cs="Times New Roman"/>
        </w:rPr>
        <w:t xml:space="preserve">Sir Andrew </w:t>
      </w:r>
      <w:proofErr w:type="spellStart"/>
      <w:r w:rsidR="00D703CB">
        <w:rPr>
          <w:rFonts w:ascii="Times New Roman" w:hAnsi="Times New Roman" w:cs="Times New Roman"/>
        </w:rPr>
        <w:t>Leggatt</w:t>
      </w:r>
      <w:proofErr w:type="spellEnd"/>
      <w:r w:rsidR="00D703CB">
        <w:rPr>
          <w:rFonts w:ascii="Times New Roman" w:hAnsi="Times New Roman" w:cs="Times New Roman"/>
        </w:rPr>
        <w:t xml:space="preserve">, </w:t>
      </w:r>
      <w:r w:rsidR="00D703CB" w:rsidRPr="00D703CB">
        <w:rPr>
          <w:rFonts w:ascii="Times New Roman" w:hAnsi="Times New Roman" w:cs="Times New Roman"/>
          <w:i/>
        </w:rPr>
        <w:t>Tribunals for Users: One System, One Service – Report of the Review of Tribunals</w:t>
      </w:r>
      <w:r w:rsidR="00D703CB" w:rsidRPr="00D703CB">
        <w:rPr>
          <w:rFonts w:ascii="Times New Roman" w:hAnsi="Times New Roman" w:cs="Times New Roman"/>
        </w:rPr>
        <w:t xml:space="preserve"> (2001)</w:t>
      </w:r>
      <w:r w:rsidR="00D703CB">
        <w:rPr>
          <w:rFonts w:ascii="Times New Roman" w:hAnsi="Times New Roman" w:cs="Times New Roman"/>
        </w:rPr>
        <w:t>.</w:t>
      </w:r>
    </w:p>
    <w:p w:rsidR="00D703CB" w:rsidRPr="00D703CB" w:rsidRDefault="00D703CB" w:rsidP="00B877DA">
      <w:pPr>
        <w:pStyle w:val="FootnoteText"/>
        <w:jc w:val="both"/>
        <w:rPr>
          <w:rFonts w:ascii="Times New Roman" w:hAnsi="Times New Roman" w:cs="Times New Roman"/>
        </w:rPr>
      </w:pPr>
    </w:p>
  </w:footnote>
  <w:footnote w:id="3">
    <w:p w:rsidR="00D703CB" w:rsidRDefault="00D703CB" w:rsidP="00B877DA">
      <w:pPr>
        <w:pStyle w:val="FootnoteText"/>
        <w:jc w:val="both"/>
        <w:rPr>
          <w:rFonts w:ascii="Times New Roman" w:hAnsi="Times New Roman" w:cs="Times New Roman"/>
        </w:rPr>
      </w:pPr>
      <w:r w:rsidRPr="00D703CB">
        <w:rPr>
          <w:rStyle w:val="FootnoteReference"/>
          <w:rFonts w:ascii="Times New Roman" w:hAnsi="Times New Roman" w:cs="Times New Roman"/>
        </w:rPr>
        <w:footnoteRef/>
      </w:r>
      <w:r w:rsidRPr="00D703CB">
        <w:rPr>
          <w:rFonts w:ascii="Times New Roman" w:hAnsi="Times New Roman" w:cs="Times New Roman"/>
        </w:rPr>
        <w:t xml:space="preserve"> </w:t>
      </w:r>
      <w:r>
        <w:rPr>
          <w:rFonts w:ascii="Times New Roman" w:hAnsi="Times New Roman" w:cs="Times New Roman"/>
        </w:rPr>
        <w:t xml:space="preserve">For an extended argument advancing the case for that some tribunals should fall under the protection of the unwritten constitutional principle for judicial independence, see Ron Ellis, </w:t>
      </w:r>
      <w:r>
        <w:rPr>
          <w:rFonts w:ascii="Times New Roman" w:hAnsi="Times New Roman" w:cs="Times New Roman"/>
          <w:i/>
        </w:rPr>
        <w:t>Unjust by Design, Canada’s Administrative Justice System</w:t>
      </w:r>
      <w:r>
        <w:rPr>
          <w:rFonts w:ascii="Times New Roman" w:hAnsi="Times New Roman" w:cs="Times New Roman"/>
        </w:rPr>
        <w:t xml:space="preserve"> (UBC Press, 2013). </w:t>
      </w:r>
    </w:p>
    <w:p w:rsidR="00041182" w:rsidRPr="00D703CB" w:rsidRDefault="00041182" w:rsidP="00B877DA">
      <w:pPr>
        <w:pStyle w:val="FootnoteText"/>
        <w:jc w:val="both"/>
        <w:rPr>
          <w:rFonts w:ascii="Times New Roman" w:hAnsi="Times New Roman" w:cs="Times New Roman"/>
        </w:rPr>
      </w:pPr>
    </w:p>
  </w:footnote>
  <w:footnote w:id="4">
    <w:p w:rsidR="00041182" w:rsidRDefault="00041182" w:rsidP="00B877DA">
      <w:pPr>
        <w:pStyle w:val="FootnoteText"/>
        <w:jc w:val="both"/>
        <w:rPr>
          <w:rFonts w:ascii="Times New Roman" w:hAnsi="Times New Roman" w:cs="Times New Roman"/>
          <w:i/>
        </w:rPr>
      </w:pPr>
      <w:r w:rsidRPr="00041182">
        <w:rPr>
          <w:rStyle w:val="FootnoteReference"/>
          <w:rFonts w:ascii="Times New Roman" w:hAnsi="Times New Roman" w:cs="Times New Roman"/>
        </w:rPr>
        <w:footnoteRef/>
      </w:r>
      <w:r w:rsidRPr="00041182">
        <w:rPr>
          <w:rFonts w:ascii="Times New Roman" w:hAnsi="Times New Roman" w:cs="Times New Roman"/>
        </w:rPr>
        <w:t xml:space="preserve"> </w:t>
      </w:r>
      <w:r>
        <w:rPr>
          <w:rFonts w:ascii="Times New Roman" w:hAnsi="Times New Roman" w:cs="Times New Roman"/>
        </w:rPr>
        <w:t xml:space="preserve">The key decisions are </w:t>
      </w:r>
      <w:r>
        <w:rPr>
          <w:rFonts w:ascii="Times New Roman" w:hAnsi="Times New Roman" w:cs="Times New Roman"/>
          <w:i/>
        </w:rPr>
        <w:t xml:space="preserve">Ocean Port Hotel Ltd. v. British Columbia (General Manager, Liquor Control and Licensing Branch), </w:t>
      </w:r>
      <w:r>
        <w:rPr>
          <w:rFonts w:ascii="Times New Roman" w:hAnsi="Times New Roman" w:cs="Times New Roman"/>
        </w:rPr>
        <w:t xml:space="preserve">[2001] 2 SCR 781 and </w:t>
      </w:r>
      <w:r>
        <w:rPr>
          <w:rFonts w:ascii="Times New Roman" w:hAnsi="Times New Roman" w:cs="Times New Roman"/>
          <w:i/>
        </w:rPr>
        <w:t>Saskatchewan Federation of Labour v. Saskatchewan</w:t>
      </w:r>
      <w:r>
        <w:rPr>
          <w:rFonts w:ascii="Times New Roman" w:hAnsi="Times New Roman" w:cs="Times New Roman"/>
        </w:rPr>
        <w:t xml:space="preserve">, 2013 SKCA 61, leave to appeal dismissed, December 19, 2013, 2013 </w:t>
      </w:r>
      <w:proofErr w:type="spellStart"/>
      <w:r>
        <w:rPr>
          <w:rFonts w:ascii="Times New Roman" w:hAnsi="Times New Roman" w:cs="Times New Roman"/>
        </w:rPr>
        <w:t>C</w:t>
      </w:r>
      <w:r w:rsidR="00F06547">
        <w:rPr>
          <w:rFonts w:ascii="Times New Roman" w:hAnsi="Times New Roman" w:cs="Times New Roman"/>
        </w:rPr>
        <w:t>an</w:t>
      </w:r>
      <w:r>
        <w:rPr>
          <w:rFonts w:ascii="Times New Roman" w:hAnsi="Times New Roman" w:cs="Times New Roman"/>
        </w:rPr>
        <w:t>LII</w:t>
      </w:r>
      <w:proofErr w:type="spellEnd"/>
      <w:r>
        <w:rPr>
          <w:rFonts w:ascii="Times New Roman" w:hAnsi="Times New Roman" w:cs="Times New Roman"/>
        </w:rPr>
        <w:t xml:space="preserve"> </w:t>
      </w:r>
      <w:r w:rsidR="00F06547">
        <w:rPr>
          <w:rFonts w:ascii="Times New Roman" w:hAnsi="Times New Roman" w:cs="Times New Roman"/>
        </w:rPr>
        <w:t>83789 (SCC).</w:t>
      </w:r>
      <w:r>
        <w:rPr>
          <w:rFonts w:ascii="Times New Roman" w:hAnsi="Times New Roman" w:cs="Times New Roman"/>
          <w:i/>
        </w:rPr>
        <w:t xml:space="preserve"> </w:t>
      </w:r>
    </w:p>
    <w:p w:rsidR="00F06547" w:rsidRPr="00041182" w:rsidRDefault="00F06547" w:rsidP="00B877DA">
      <w:pPr>
        <w:pStyle w:val="FootnoteText"/>
        <w:jc w:val="both"/>
        <w:rPr>
          <w:rFonts w:ascii="Times New Roman" w:hAnsi="Times New Roman" w:cs="Times New Roman"/>
          <w:i/>
        </w:rPr>
      </w:pPr>
    </w:p>
  </w:footnote>
  <w:footnote w:id="5">
    <w:p w:rsidR="00F06547" w:rsidRPr="00F06547" w:rsidRDefault="00F06547" w:rsidP="00B877DA">
      <w:pPr>
        <w:pStyle w:val="FootnoteText"/>
        <w:jc w:val="both"/>
        <w:rPr>
          <w:rFonts w:ascii="Times New Roman" w:hAnsi="Times New Roman" w:cs="Times New Roman"/>
        </w:rPr>
      </w:pPr>
      <w:r w:rsidRPr="00F06547">
        <w:rPr>
          <w:rStyle w:val="FootnoteReference"/>
          <w:rFonts w:ascii="Times New Roman" w:hAnsi="Times New Roman" w:cs="Times New Roman"/>
        </w:rPr>
        <w:footnoteRef/>
      </w:r>
      <w:r w:rsidRPr="00F06547">
        <w:rPr>
          <w:rFonts w:ascii="Times New Roman" w:hAnsi="Times New Roman" w:cs="Times New Roman"/>
        </w:rPr>
        <w:t xml:space="preserve"> </w:t>
      </w:r>
      <w:r>
        <w:rPr>
          <w:rFonts w:ascii="Times New Roman" w:hAnsi="Times New Roman" w:cs="Times New Roman"/>
          <w:i/>
        </w:rPr>
        <w:t>Constitution Act, 1867</w:t>
      </w:r>
      <w:r>
        <w:rPr>
          <w:rFonts w:ascii="Times New Roman" w:hAnsi="Times New Roman" w:cs="Times New Roman"/>
        </w:rPr>
        <w:t>, ss. 96-100.</w:t>
      </w:r>
    </w:p>
  </w:footnote>
  <w:footnote w:id="6">
    <w:p w:rsidR="00F06547" w:rsidRPr="00F06547" w:rsidRDefault="00F06547" w:rsidP="00B877DA">
      <w:pPr>
        <w:pStyle w:val="FootnoteText"/>
        <w:jc w:val="both"/>
        <w:rPr>
          <w:rFonts w:ascii="Times New Roman" w:hAnsi="Times New Roman" w:cs="Times New Roman"/>
        </w:rPr>
      </w:pPr>
      <w:r w:rsidRPr="00F06547">
        <w:rPr>
          <w:rStyle w:val="FootnoteReference"/>
          <w:rFonts w:ascii="Times New Roman" w:hAnsi="Times New Roman" w:cs="Times New Roman"/>
        </w:rPr>
        <w:footnoteRef/>
      </w:r>
      <w:r w:rsidRPr="00F06547">
        <w:rPr>
          <w:rFonts w:ascii="Times New Roman" w:hAnsi="Times New Roman" w:cs="Times New Roman"/>
        </w:rPr>
        <w:t xml:space="preserve"> </w:t>
      </w:r>
      <w:r>
        <w:rPr>
          <w:rFonts w:ascii="Times New Roman" w:hAnsi="Times New Roman" w:cs="Times New Roman"/>
          <w:i/>
        </w:rPr>
        <w:t>Canadian Charter of Rights and Freedoms</w:t>
      </w:r>
      <w:r>
        <w:rPr>
          <w:rFonts w:ascii="Times New Roman" w:hAnsi="Times New Roman" w:cs="Times New Roman"/>
        </w:rPr>
        <w:t>, s. 11(d).</w:t>
      </w:r>
    </w:p>
    <w:p w:rsidR="00F06547" w:rsidRDefault="00F06547" w:rsidP="00B877DA">
      <w:pPr>
        <w:pStyle w:val="FootnoteText"/>
        <w:jc w:val="both"/>
      </w:pPr>
    </w:p>
  </w:footnote>
  <w:footnote w:id="7">
    <w:p w:rsidR="00041182" w:rsidRDefault="00041182" w:rsidP="00B877DA">
      <w:pPr>
        <w:pStyle w:val="FootnoteText"/>
        <w:jc w:val="both"/>
        <w:rPr>
          <w:rFonts w:ascii="Times New Roman" w:hAnsi="Times New Roman" w:cs="Times New Roman"/>
        </w:rPr>
      </w:pPr>
      <w:r w:rsidRPr="00041182">
        <w:rPr>
          <w:rStyle w:val="FootnoteReference"/>
          <w:rFonts w:ascii="Times New Roman" w:hAnsi="Times New Roman" w:cs="Times New Roman"/>
        </w:rPr>
        <w:footnoteRef/>
      </w:r>
      <w:r w:rsidRPr="00041182">
        <w:rPr>
          <w:rFonts w:ascii="Times New Roman" w:hAnsi="Times New Roman" w:cs="Times New Roman"/>
        </w:rPr>
        <w:t xml:space="preserve"> </w:t>
      </w:r>
      <w:proofErr w:type="gramStart"/>
      <w:r>
        <w:rPr>
          <w:rFonts w:ascii="Times New Roman" w:hAnsi="Times New Roman" w:cs="Times New Roman"/>
        </w:rPr>
        <w:t>[1997] 3 SCR 3</w:t>
      </w:r>
      <w:r w:rsidR="00F06547">
        <w:rPr>
          <w:rFonts w:ascii="Times New Roman" w:hAnsi="Times New Roman" w:cs="Times New Roman"/>
        </w:rPr>
        <w:t xml:space="preserve"> (hereafter “</w:t>
      </w:r>
      <w:r w:rsidR="00F06547">
        <w:rPr>
          <w:rFonts w:ascii="Times New Roman" w:hAnsi="Times New Roman" w:cs="Times New Roman"/>
          <w:i/>
        </w:rPr>
        <w:t>PEI Provincial Court Judges Reference</w:t>
      </w:r>
      <w:r w:rsidR="00F06547">
        <w:rPr>
          <w:rFonts w:ascii="Times New Roman" w:hAnsi="Times New Roman" w:cs="Times New Roman"/>
        </w:rPr>
        <w:t>”).</w:t>
      </w:r>
      <w:proofErr w:type="gramEnd"/>
    </w:p>
    <w:p w:rsidR="00F06547" w:rsidRPr="00041182" w:rsidRDefault="00F06547" w:rsidP="00B877DA">
      <w:pPr>
        <w:pStyle w:val="FootnoteText"/>
        <w:jc w:val="both"/>
        <w:rPr>
          <w:rFonts w:ascii="Times New Roman" w:hAnsi="Times New Roman" w:cs="Times New Roman"/>
        </w:rPr>
      </w:pPr>
    </w:p>
  </w:footnote>
  <w:footnote w:id="8">
    <w:p w:rsidR="00F06547" w:rsidRDefault="00F06547" w:rsidP="00B877DA">
      <w:pPr>
        <w:pStyle w:val="FootnoteText"/>
        <w:jc w:val="both"/>
        <w:rPr>
          <w:rFonts w:ascii="Times New Roman" w:hAnsi="Times New Roman" w:cs="Times New Roman"/>
          <w:i/>
        </w:rPr>
      </w:pPr>
      <w:r w:rsidRPr="00F06547">
        <w:rPr>
          <w:rStyle w:val="FootnoteReference"/>
          <w:rFonts w:ascii="Times New Roman" w:hAnsi="Times New Roman" w:cs="Times New Roman"/>
        </w:rPr>
        <w:footnoteRef/>
      </w:r>
      <w:r w:rsidRPr="00F06547">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i/>
        </w:rPr>
        <w:t>McKenzie v. British Columbia (Minister of Public Safety and Solicitor General)</w:t>
      </w:r>
      <w:r>
        <w:rPr>
          <w:rFonts w:ascii="Times New Roman" w:hAnsi="Times New Roman" w:cs="Times New Roman"/>
        </w:rPr>
        <w:t xml:space="preserve">, 2006 BCSC 1372, appeal dismissed as moot, 2007 BCCA 507, leave to appeal dismissed </w:t>
      </w:r>
      <w:r w:rsidR="00E10D96">
        <w:rPr>
          <w:rFonts w:ascii="Times New Roman" w:hAnsi="Times New Roman" w:cs="Times New Roman"/>
        </w:rPr>
        <w:t xml:space="preserve">April 28, 2008, 2008 </w:t>
      </w:r>
      <w:proofErr w:type="spellStart"/>
      <w:r w:rsidR="00E10D96">
        <w:rPr>
          <w:rFonts w:ascii="Times New Roman" w:hAnsi="Times New Roman" w:cs="Times New Roman"/>
        </w:rPr>
        <w:t>CanLII</w:t>
      </w:r>
      <w:proofErr w:type="spellEnd"/>
      <w:r w:rsidR="00E10D96">
        <w:rPr>
          <w:rFonts w:ascii="Times New Roman" w:hAnsi="Times New Roman" w:cs="Times New Roman"/>
        </w:rPr>
        <w:t xml:space="preserve"> 18936 (SCC).</w:t>
      </w:r>
      <w:r>
        <w:rPr>
          <w:rFonts w:ascii="Times New Roman" w:hAnsi="Times New Roman" w:cs="Times New Roman"/>
        </w:rPr>
        <w:t xml:space="preserve"> </w:t>
      </w:r>
      <w:r>
        <w:rPr>
          <w:rFonts w:ascii="Times New Roman" w:hAnsi="Times New Roman" w:cs="Times New Roman"/>
          <w:i/>
        </w:rPr>
        <w:t xml:space="preserve"> </w:t>
      </w:r>
    </w:p>
    <w:p w:rsidR="00E10D96" w:rsidRPr="00F06547" w:rsidRDefault="00E10D96" w:rsidP="00B877DA">
      <w:pPr>
        <w:pStyle w:val="FootnoteText"/>
        <w:jc w:val="both"/>
        <w:rPr>
          <w:rFonts w:ascii="Times New Roman" w:hAnsi="Times New Roman" w:cs="Times New Roman"/>
          <w:i/>
        </w:rPr>
      </w:pPr>
    </w:p>
  </w:footnote>
  <w:footnote w:id="9">
    <w:p w:rsidR="00E10D96" w:rsidRPr="00E10D96" w:rsidRDefault="00E10D96" w:rsidP="00B877DA">
      <w:pPr>
        <w:pStyle w:val="FootnoteText"/>
        <w:jc w:val="both"/>
        <w:rPr>
          <w:rFonts w:ascii="Times New Roman" w:hAnsi="Times New Roman" w:cs="Times New Roman"/>
        </w:rPr>
      </w:pPr>
      <w:r w:rsidRPr="00E10D96">
        <w:rPr>
          <w:rStyle w:val="FootnoteReference"/>
          <w:rFonts w:ascii="Times New Roman" w:hAnsi="Times New Roman" w:cs="Times New Roman"/>
        </w:rPr>
        <w:footnoteRef/>
      </w:r>
      <w:r w:rsidRPr="00E10D96">
        <w:rPr>
          <w:rFonts w:ascii="Times New Roman" w:hAnsi="Times New Roman" w:cs="Times New Roman"/>
        </w:rPr>
        <w:t xml:space="preserve"> </w:t>
      </w:r>
      <w:r>
        <w:rPr>
          <w:rFonts w:ascii="Times New Roman" w:hAnsi="Times New Roman" w:cs="Times New Roman"/>
        </w:rPr>
        <w:t>See cases referred to in note 4.</w:t>
      </w:r>
    </w:p>
  </w:footnote>
  <w:footnote w:id="10">
    <w:p w:rsidR="00E10D96" w:rsidRPr="00E10D96" w:rsidRDefault="00E10D96" w:rsidP="00B877DA">
      <w:pPr>
        <w:pStyle w:val="FootnoteText"/>
        <w:jc w:val="both"/>
        <w:rPr>
          <w:rFonts w:ascii="Times New Roman" w:hAnsi="Times New Roman" w:cs="Times New Roman"/>
        </w:rPr>
      </w:pPr>
      <w:r w:rsidRPr="00E10D96">
        <w:rPr>
          <w:rStyle w:val="FootnoteReference"/>
          <w:rFonts w:ascii="Times New Roman" w:hAnsi="Times New Roman" w:cs="Times New Roman"/>
        </w:rPr>
        <w:footnoteRef/>
      </w:r>
      <w:r w:rsidRPr="00E10D96">
        <w:rPr>
          <w:rFonts w:ascii="Times New Roman" w:hAnsi="Times New Roman" w:cs="Times New Roman"/>
        </w:rPr>
        <w:t xml:space="preserve"> See </w:t>
      </w:r>
      <w:proofErr w:type="spellStart"/>
      <w:r w:rsidRPr="00E10D96">
        <w:rPr>
          <w:rFonts w:ascii="Times New Roman" w:hAnsi="Times New Roman" w:cs="Times New Roman"/>
          <w:i/>
        </w:rPr>
        <w:t>Crevier</w:t>
      </w:r>
      <w:proofErr w:type="spellEnd"/>
      <w:r w:rsidRPr="00E10D96">
        <w:rPr>
          <w:rFonts w:ascii="Times New Roman" w:hAnsi="Times New Roman" w:cs="Times New Roman"/>
          <w:i/>
        </w:rPr>
        <w:t xml:space="preserve"> v. Quebec (Attorney General</w:t>
      </w:r>
      <w:r w:rsidRPr="00E10D96">
        <w:rPr>
          <w:rFonts w:ascii="Times New Roman" w:hAnsi="Times New Roman" w:cs="Times New Roman"/>
        </w:rPr>
        <w:t>, [1981] 2 SCR 220.</w:t>
      </w:r>
    </w:p>
    <w:p w:rsidR="00E10D96" w:rsidRPr="00E10D96" w:rsidRDefault="00E10D96" w:rsidP="00B877DA">
      <w:pPr>
        <w:pStyle w:val="FootnoteText"/>
        <w:jc w:val="both"/>
        <w:rPr>
          <w:rFonts w:ascii="Times New Roman" w:hAnsi="Times New Roman" w:cs="Times New Roman"/>
          <w:i/>
        </w:rPr>
      </w:pPr>
    </w:p>
  </w:footnote>
  <w:footnote w:id="11">
    <w:p w:rsidR="00E10D96" w:rsidRPr="00E10D96" w:rsidRDefault="00E10D96" w:rsidP="00B877DA">
      <w:pPr>
        <w:pStyle w:val="FootnoteText"/>
        <w:jc w:val="both"/>
        <w:rPr>
          <w:rFonts w:ascii="Times New Roman" w:hAnsi="Times New Roman" w:cs="Times New Roman"/>
        </w:rPr>
      </w:pPr>
      <w:r w:rsidRPr="00E10D96">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See </w:t>
      </w:r>
      <w:r w:rsidRPr="00E10D96">
        <w:rPr>
          <w:rFonts w:ascii="Times New Roman" w:hAnsi="Times New Roman" w:cs="Times New Roman"/>
          <w:i/>
        </w:rPr>
        <w:t xml:space="preserve">MacMillan </w:t>
      </w:r>
      <w:proofErr w:type="spellStart"/>
      <w:r w:rsidRPr="00E10D96">
        <w:rPr>
          <w:rFonts w:ascii="Times New Roman" w:hAnsi="Times New Roman" w:cs="Times New Roman"/>
          <w:i/>
        </w:rPr>
        <w:t>Bloedel</w:t>
      </w:r>
      <w:proofErr w:type="spellEnd"/>
      <w:r w:rsidRPr="00E10D96">
        <w:rPr>
          <w:rFonts w:ascii="Times New Roman" w:hAnsi="Times New Roman" w:cs="Times New Roman"/>
          <w:i/>
        </w:rPr>
        <w:t xml:space="preserve"> Ltd. v. Simpson</w:t>
      </w:r>
      <w:r>
        <w:rPr>
          <w:rFonts w:ascii="Times New Roman" w:hAnsi="Times New Roman" w:cs="Times New Roman"/>
          <w:i/>
        </w:rPr>
        <w:t xml:space="preserve">, </w:t>
      </w:r>
      <w:r w:rsidRPr="00E10D96">
        <w:rPr>
          <w:rFonts w:ascii="Times New Roman" w:hAnsi="Times New Roman" w:cs="Times New Roman"/>
        </w:rPr>
        <w:t>[1995] 4 SCR</w:t>
      </w:r>
      <w:r>
        <w:rPr>
          <w:rFonts w:ascii="Times New Roman" w:hAnsi="Times New Roman" w:cs="Times New Roman"/>
        </w:rPr>
        <w:t xml:space="preserve"> 725.</w:t>
      </w:r>
      <w:proofErr w:type="gramEnd"/>
      <w:r w:rsidRPr="00E10D96">
        <w:rPr>
          <w:rFonts w:ascii="Times New Roman" w:hAnsi="Times New Roman" w:cs="Times New Roman"/>
        </w:rPr>
        <w:t xml:space="preserve"> </w:t>
      </w:r>
    </w:p>
  </w:footnote>
  <w:footnote w:id="12">
    <w:p w:rsidR="00B877DA" w:rsidRPr="009670D4" w:rsidRDefault="00B877DA" w:rsidP="00105DC7">
      <w:pPr>
        <w:pStyle w:val="FootnoteText"/>
        <w:jc w:val="both"/>
        <w:rPr>
          <w:rFonts w:ascii="Times New Roman" w:hAnsi="Times New Roman" w:cs="Times New Roman"/>
        </w:rPr>
      </w:pPr>
      <w:r w:rsidRPr="009670D4">
        <w:rPr>
          <w:rStyle w:val="FootnoteReference"/>
          <w:rFonts w:ascii="Times New Roman" w:hAnsi="Times New Roman" w:cs="Times New Roman"/>
        </w:rPr>
        <w:footnoteRef/>
      </w:r>
      <w:r w:rsidRPr="009670D4">
        <w:rPr>
          <w:rFonts w:ascii="Times New Roman" w:hAnsi="Times New Roman" w:cs="Times New Roman"/>
        </w:rPr>
        <w:t xml:space="preserve"> </w:t>
      </w:r>
      <w:r w:rsidR="00DB2CF4">
        <w:rPr>
          <w:rFonts w:ascii="Times New Roman" w:hAnsi="Times New Roman" w:cs="Times New Roman"/>
        </w:rPr>
        <w:t xml:space="preserve">See </w:t>
      </w:r>
      <w:r>
        <w:rPr>
          <w:rFonts w:ascii="Times New Roman" w:hAnsi="Times New Roman" w:cs="Times New Roman"/>
        </w:rPr>
        <w:t xml:space="preserve">Action Committee on Access to Justice in Civil and Family Matters, </w:t>
      </w:r>
      <w:r>
        <w:rPr>
          <w:rFonts w:ascii="Times New Roman" w:hAnsi="Times New Roman" w:cs="Times New Roman"/>
          <w:i/>
        </w:rPr>
        <w:t>Access to Civil and Family Justice: A Roadmap for Change</w:t>
      </w:r>
      <w:r>
        <w:rPr>
          <w:rFonts w:ascii="Times New Roman" w:hAnsi="Times New Roman" w:cs="Times New Roman"/>
        </w:rPr>
        <w:t xml:space="preserve"> (Ottawa, 2013), online at </w:t>
      </w:r>
      <w:r w:rsidRPr="009670D4">
        <w:rPr>
          <w:rFonts w:ascii="Times New Roman" w:hAnsi="Times New Roman" w:cs="Times New Roman"/>
        </w:rPr>
        <w:t>http://www.cfcj-fcjc.org/sites/default/files/docs/2013/AC_Report_English_Final.pdf</w:t>
      </w:r>
      <w:r>
        <w:rPr>
          <w:rFonts w:ascii="Times New Roman" w:hAnsi="Times New Roman" w:cs="Times New Roman"/>
        </w:rPr>
        <w:t>.</w:t>
      </w:r>
    </w:p>
  </w:footnote>
  <w:footnote w:id="13">
    <w:p w:rsidR="006B4EFD" w:rsidRDefault="006B4EFD">
      <w:pPr>
        <w:pStyle w:val="FootnoteText"/>
        <w:rPr>
          <w:rFonts w:ascii="Times New Roman" w:hAnsi="Times New Roman" w:cs="Times New Roman"/>
        </w:rPr>
      </w:pPr>
      <w:r w:rsidRPr="006B4EFD">
        <w:rPr>
          <w:rStyle w:val="FootnoteReference"/>
          <w:rFonts w:ascii="Times New Roman" w:hAnsi="Times New Roman" w:cs="Times New Roman"/>
        </w:rPr>
        <w:footnoteRef/>
      </w:r>
      <w:r w:rsidRPr="006B4EFD">
        <w:rPr>
          <w:rFonts w:ascii="Times New Roman" w:hAnsi="Times New Roman" w:cs="Times New Roman"/>
        </w:rPr>
        <w:t xml:space="preserve"> </w:t>
      </w:r>
      <w:r>
        <w:rPr>
          <w:rFonts w:ascii="Times New Roman" w:hAnsi="Times New Roman" w:cs="Times New Roman"/>
        </w:rPr>
        <w:t xml:space="preserve">See Philip </w:t>
      </w:r>
      <w:proofErr w:type="spellStart"/>
      <w:r>
        <w:rPr>
          <w:rFonts w:ascii="Times New Roman" w:hAnsi="Times New Roman" w:cs="Times New Roman"/>
        </w:rPr>
        <w:t>Bryden</w:t>
      </w:r>
      <w:proofErr w:type="spellEnd"/>
      <w:r>
        <w:rPr>
          <w:rFonts w:ascii="Times New Roman" w:hAnsi="Times New Roman" w:cs="Times New Roman"/>
        </w:rPr>
        <w:t xml:space="preserve">, “How to Achieve Tribunal Independence: A Canadian Perspective” in Robin </w:t>
      </w:r>
      <w:proofErr w:type="spellStart"/>
      <w:r>
        <w:rPr>
          <w:rFonts w:ascii="Times New Roman" w:hAnsi="Times New Roman" w:cs="Times New Roman"/>
        </w:rPr>
        <w:t>Creyke</w:t>
      </w:r>
      <w:proofErr w:type="spellEnd"/>
      <w:r>
        <w:rPr>
          <w:rFonts w:ascii="Times New Roman" w:hAnsi="Times New Roman" w:cs="Times New Roman"/>
        </w:rPr>
        <w:t xml:space="preserve">, ed. </w:t>
      </w:r>
      <w:r>
        <w:rPr>
          <w:rFonts w:ascii="Times New Roman" w:hAnsi="Times New Roman" w:cs="Times New Roman"/>
          <w:i/>
        </w:rPr>
        <w:t xml:space="preserve">Tribunals in the Common Law World </w:t>
      </w:r>
      <w:r>
        <w:rPr>
          <w:rFonts w:ascii="Times New Roman" w:hAnsi="Times New Roman" w:cs="Times New Roman"/>
        </w:rPr>
        <w:t xml:space="preserve">(Federation Press, 2008) 62. </w:t>
      </w:r>
    </w:p>
    <w:p w:rsidR="006B4EFD" w:rsidRPr="006B4EFD" w:rsidRDefault="006B4EFD">
      <w:pPr>
        <w:pStyle w:val="FootnoteText"/>
        <w:rPr>
          <w:rFonts w:ascii="Times New Roman" w:hAnsi="Times New Roman" w:cs="Times New Roman"/>
        </w:rPr>
      </w:pPr>
    </w:p>
  </w:footnote>
  <w:footnote w:id="14">
    <w:p w:rsidR="00B74E57" w:rsidRPr="00B74E57" w:rsidRDefault="00B74E57" w:rsidP="00B877DA">
      <w:pPr>
        <w:pStyle w:val="FootnoteText"/>
        <w:jc w:val="both"/>
        <w:rPr>
          <w:rFonts w:ascii="Times New Roman" w:hAnsi="Times New Roman" w:cs="Times New Roman"/>
        </w:rPr>
      </w:pPr>
      <w:r w:rsidRPr="00B74E57">
        <w:rPr>
          <w:rStyle w:val="FootnoteReference"/>
          <w:rFonts w:ascii="Times New Roman" w:hAnsi="Times New Roman" w:cs="Times New Roman"/>
        </w:rPr>
        <w:footnoteRef/>
      </w:r>
      <w:r w:rsidRPr="00B74E57">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i/>
        </w:rPr>
        <w:t xml:space="preserve">PEI Provincial Court Judges </w:t>
      </w:r>
      <w:proofErr w:type="gramStart"/>
      <w:r>
        <w:rPr>
          <w:rFonts w:ascii="Times New Roman" w:hAnsi="Times New Roman" w:cs="Times New Roman"/>
          <w:i/>
        </w:rPr>
        <w:t>Reference</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 xml:space="preserve">note 7, at paras. </w:t>
      </w:r>
      <w:r w:rsidR="008E0040">
        <w:rPr>
          <w:rFonts w:ascii="Times New Roman" w:hAnsi="Times New Roman" w:cs="Times New Roman"/>
        </w:rPr>
        <w:t xml:space="preserve">117 and </w:t>
      </w:r>
      <w:r>
        <w:rPr>
          <w:rFonts w:ascii="Times New Roman" w:hAnsi="Times New Roman" w:cs="Times New Roman"/>
        </w:rPr>
        <w:t xml:space="preserve">251-276; </w:t>
      </w:r>
      <w:r>
        <w:rPr>
          <w:rFonts w:ascii="Times New Roman" w:hAnsi="Times New Roman" w:cs="Times New Roman"/>
          <w:i/>
        </w:rPr>
        <w:t xml:space="preserve">Canada (Minister of Citizenship and Immigration v. </w:t>
      </w:r>
      <w:proofErr w:type="spellStart"/>
      <w:r>
        <w:rPr>
          <w:rFonts w:ascii="Times New Roman" w:hAnsi="Times New Roman" w:cs="Times New Roman"/>
          <w:i/>
        </w:rPr>
        <w:t>Tobiass</w:t>
      </w:r>
      <w:proofErr w:type="spellEnd"/>
      <w:r>
        <w:rPr>
          <w:rFonts w:ascii="Times New Roman" w:hAnsi="Times New Roman" w:cs="Times New Roman"/>
        </w:rPr>
        <w:t xml:space="preserve">, [1997] 3 SCR 391 </w:t>
      </w:r>
      <w:r w:rsidR="008E0040">
        <w:rPr>
          <w:rFonts w:ascii="Times New Roman" w:hAnsi="Times New Roman" w:cs="Times New Roman"/>
        </w:rPr>
        <w:t>at paras. 71-81.</w:t>
      </w:r>
    </w:p>
  </w:footnote>
  <w:footnote w:id="15">
    <w:p w:rsidR="006B4EFD" w:rsidRPr="006B4EFD" w:rsidRDefault="006B4EFD" w:rsidP="00A53A5F">
      <w:pPr>
        <w:pStyle w:val="FootnoteText"/>
        <w:jc w:val="both"/>
        <w:rPr>
          <w:rFonts w:ascii="Times New Roman" w:hAnsi="Times New Roman" w:cs="Times New Roman"/>
        </w:rPr>
      </w:pPr>
      <w:r w:rsidRPr="006B4EFD">
        <w:rPr>
          <w:rStyle w:val="FootnoteReference"/>
          <w:rFonts w:ascii="Times New Roman" w:hAnsi="Times New Roman" w:cs="Times New Roman"/>
        </w:rPr>
        <w:footnoteRef/>
      </w:r>
      <w:r w:rsidRPr="006B4EFD">
        <w:rPr>
          <w:rFonts w:ascii="Times New Roman" w:hAnsi="Times New Roman" w:cs="Times New Roman"/>
        </w:rPr>
        <w:t xml:space="preserve"> </w:t>
      </w:r>
      <w:r w:rsidR="00A53A5F">
        <w:rPr>
          <w:rFonts w:ascii="Times New Roman" w:hAnsi="Times New Roman" w:cs="Times New Roman"/>
        </w:rPr>
        <w:t xml:space="preserve">See the website of the Office of the Commissioner for Federal Judicial Affairs Canada, online at </w:t>
      </w:r>
      <w:r w:rsidR="00A53A5F" w:rsidRPr="00A53A5F">
        <w:rPr>
          <w:rFonts w:ascii="Times New Roman" w:hAnsi="Times New Roman" w:cs="Times New Roman"/>
        </w:rPr>
        <w:t>http://www.fja.gc.ca/home-accueil/index-eng.html</w:t>
      </w:r>
      <w:r w:rsidR="00A53A5F">
        <w:rPr>
          <w:rFonts w:ascii="Times New Roman" w:hAnsi="Times New Roman" w:cs="Times New Roman"/>
        </w:rPr>
        <w:t>.</w:t>
      </w:r>
    </w:p>
  </w:footnote>
  <w:footnote w:id="16">
    <w:p w:rsidR="008E0040" w:rsidRDefault="008E0040" w:rsidP="00B877DA">
      <w:pPr>
        <w:pStyle w:val="FootnoteText"/>
        <w:jc w:val="both"/>
        <w:rPr>
          <w:rFonts w:ascii="Times New Roman" w:hAnsi="Times New Roman" w:cs="Times New Roman"/>
        </w:rPr>
      </w:pPr>
      <w:r w:rsidRPr="008E0040">
        <w:rPr>
          <w:rStyle w:val="FootnoteReference"/>
          <w:rFonts w:ascii="Times New Roman" w:hAnsi="Times New Roman" w:cs="Times New Roman"/>
        </w:rPr>
        <w:footnoteRef/>
      </w:r>
      <w:r w:rsidRPr="008E0040">
        <w:rPr>
          <w:rFonts w:ascii="Times New Roman" w:hAnsi="Times New Roman" w:cs="Times New Roman"/>
        </w:rPr>
        <w:t xml:space="preserve"> </w:t>
      </w:r>
      <w:proofErr w:type="gramStart"/>
      <w:r>
        <w:rPr>
          <w:rFonts w:ascii="Times New Roman" w:hAnsi="Times New Roman" w:cs="Times New Roman"/>
        </w:rPr>
        <w:t>S</w:t>
      </w:r>
      <w:r w:rsidR="005D465F">
        <w:rPr>
          <w:rFonts w:ascii="Times New Roman" w:hAnsi="Times New Roman" w:cs="Times New Roman"/>
        </w:rPr>
        <w:t>.</w:t>
      </w:r>
      <w:r>
        <w:rPr>
          <w:rFonts w:ascii="Times New Roman" w:hAnsi="Times New Roman" w:cs="Times New Roman"/>
        </w:rPr>
        <w:t>C</w:t>
      </w:r>
      <w:r w:rsidR="005D465F">
        <w:rPr>
          <w:rFonts w:ascii="Times New Roman" w:hAnsi="Times New Roman" w:cs="Times New Roman"/>
        </w:rPr>
        <w:t>.</w:t>
      </w:r>
      <w:r>
        <w:rPr>
          <w:rFonts w:ascii="Times New Roman" w:hAnsi="Times New Roman" w:cs="Times New Roman"/>
        </w:rPr>
        <w:t xml:space="preserve"> 2014, c</w:t>
      </w:r>
      <w:r w:rsidR="005D465F">
        <w:rPr>
          <w:rFonts w:ascii="Times New Roman" w:hAnsi="Times New Roman" w:cs="Times New Roman"/>
        </w:rPr>
        <w:t>.</w:t>
      </w:r>
      <w:r>
        <w:rPr>
          <w:rFonts w:ascii="Times New Roman" w:hAnsi="Times New Roman" w:cs="Times New Roman"/>
        </w:rPr>
        <w:t xml:space="preserve"> 20, s. 376.</w:t>
      </w:r>
      <w:proofErr w:type="gramEnd"/>
    </w:p>
    <w:p w:rsidR="008E0040" w:rsidRPr="008E0040" w:rsidRDefault="008E0040" w:rsidP="00B877DA">
      <w:pPr>
        <w:pStyle w:val="FootnoteText"/>
        <w:jc w:val="both"/>
        <w:rPr>
          <w:rFonts w:ascii="Times New Roman" w:hAnsi="Times New Roman" w:cs="Times New Roman"/>
        </w:rPr>
      </w:pPr>
    </w:p>
  </w:footnote>
  <w:footnote w:id="17">
    <w:p w:rsidR="00105DC7" w:rsidRPr="00105DC7" w:rsidRDefault="00105DC7" w:rsidP="00105DC7">
      <w:pPr>
        <w:pStyle w:val="FootnoteText"/>
        <w:jc w:val="both"/>
        <w:rPr>
          <w:rFonts w:ascii="Times New Roman" w:hAnsi="Times New Roman" w:cs="Times New Roman"/>
        </w:rPr>
      </w:pPr>
      <w:r w:rsidRPr="00105DC7">
        <w:rPr>
          <w:rStyle w:val="FootnoteReference"/>
          <w:rFonts w:ascii="Times New Roman" w:hAnsi="Times New Roman" w:cs="Times New Roman"/>
        </w:rPr>
        <w:footnoteRef/>
      </w:r>
      <w:r>
        <w:rPr>
          <w:rFonts w:ascii="Times New Roman" w:hAnsi="Times New Roman" w:cs="Times New Roman"/>
        </w:rPr>
        <w:t xml:space="preserve"> See Administrative Tribunals Support Service of Canada website, online at </w:t>
      </w:r>
      <w:r w:rsidRPr="00105DC7">
        <w:rPr>
          <w:rFonts w:ascii="Times New Roman" w:hAnsi="Times New Roman" w:cs="Times New Roman"/>
        </w:rPr>
        <w:t>http://www.canada.ca/en/gov/dept/atssc/</w:t>
      </w:r>
      <w:r>
        <w:rPr>
          <w:rFonts w:ascii="Times New Roman" w:hAnsi="Times New Roman" w:cs="Times New Roman"/>
        </w:rPr>
        <w:t>.</w:t>
      </w:r>
    </w:p>
    <w:p w:rsidR="00105DC7" w:rsidRDefault="00105DC7">
      <w:pPr>
        <w:pStyle w:val="FootnoteText"/>
      </w:pPr>
    </w:p>
  </w:footnote>
  <w:footnote w:id="18">
    <w:p w:rsidR="008E0040" w:rsidRPr="008E0040" w:rsidRDefault="008E0040" w:rsidP="00B877DA">
      <w:pPr>
        <w:pStyle w:val="FootnoteText"/>
        <w:jc w:val="both"/>
        <w:rPr>
          <w:rFonts w:ascii="Times New Roman" w:hAnsi="Times New Roman" w:cs="Times New Roman"/>
        </w:rPr>
      </w:pPr>
      <w:r w:rsidRPr="008E0040">
        <w:rPr>
          <w:rStyle w:val="FootnoteReference"/>
          <w:rFonts w:ascii="Times New Roman" w:hAnsi="Times New Roman" w:cs="Times New Roman"/>
        </w:rPr>
        <w:footnoteRef/>
      </w:r>
      <w:r w:rsidRPr="008E0040">
        <w:rPr>
          <w:rFonts w:ascii="Times New Roman" w:hAnsi="Times New Roman" w:cs="Times New Roman"/>
        </w:rPr>
        <w:t xml:space="preserve"> </w:t>
      </w:r>
      <w:proofErr w:type="gramStart"/>
      <w:r w:rsidR="006D1DF1">
        <w:rPr>
          <w:rFonts w:ascii="Times New Roman" w:hAnsi="Times New Roman" w:cs="Times New Roman"/>
        </w:rPr>
        <w:t>S</w:t>
      </w:r>
      <w:r w:rsidR="005D465F">
        <w:rPr>
          <w:rFonts w:ascii="Times New Roman" w:hAnsi="Times New Roman" w:cs="Times New Roman"/>
        </w:rPr>
        <w:t>.</w:t>
      </w:r>
      <w:r w:rsidR="006D1DF1">
        <w:rPr>
          <w:rFonts w:ascii="Times New Roman" w:hAnsi="Times New Roman" w:cs="Times New Roman"/>
        </w:rPr>
        <w:t>O</w:t>
      </w:r>
      <w:r w:rsidR="005D465F">
        <w:rPr>
          <w:rFonts w:ascii="Times New Roman" w:hAnsi="Times New Roman" w:cs="Times New Roman"/>
        </w:rPr>
        <w:t>.</w:t>
      </w:r>
      <w:r w:rsidR="006D1DF1">
        <w:rPr>
          <w:rFonts w:ascii="Times New Roman" w:hAnsi="Times New Roman" w:cs="Times New Roman"/>
        </w:rPr>
        <w:t xml:space="preserve"> 2009, c</w:t>
      </w:r>
      <w:r w:rsidR="005D465F">
        <w:rPr>
          <w:rFonts w:ascii="Times New Roman" w:hAnsi="Times New Roman" w:cs="Times New Roman"/>
        </w:rPr>
        <w:t>.</w:t>
      </w:r>
      <w:r w:rsidR="006D1DF1">
        <w:rPr>
          <w:rFonts w:ascii="Times New Roman" w:hAnsi="Times New Roman" w:cs="Times New Roman"/>
        </w:rPr>
        <w:t xml:space="preserve"> 33, sch. 5</w:t>
      </w:r>
      <w:r w:rsidR="00105DC7">
        <w:rPr>
          <w:rFonts w:ascii="Times New Roman" w:hAnsi="Times New Roman" w:cs="Times New Roman"/>
        </w:rPr>
        <w:t xml:space="preserve"> (hereafter “</w:t>
      </w:r>
      <w:r w:rsidR="00105DC7">
        <w:rPr>
          <w:rFonts w:ascii="Times New Roman" w:hAnsi="Times New Roman" w:cs="Times New Roman"/>
          <w:i/>
        </w:rPr>
        <w:t>ATAGAA</w:t>
      </w:r>
      <w:r w:rsidR="00105DC7">
        <w:rPr>
          <w:rFonts w:ascii="Times New Roman" w:hAnsi="Times New Roman" w:cs="Times New Roman"/>
        </w:rPr>
        <w:t>”)</w:t>
      </w:r>
      <w:r w:rsidR="006D1DF1">
        <w:rPr>
          <w:rFonts w:ascii="Times New Roman" w:hAnsi="Times New Roman" w:cs="Times New Roman"/>
        </w:rPr>
        <w:t>.</w:t>
      </w:r>
      <w:proofErr w:type="gramEnd"/>
    </w:p>
  </w:footnote>
  <w:footnote w:id="19">
    <w:p w:rsidR="006D1DF1" w:rsidRPr="006D1DF1" w:rsidRDefault="006D1DF1" w:rsidP="00B877DA">
      <w:pPr>
        <w:pStyle w:val="FootnoteText"/>
        <w:jc w:val="both"/>
        <w:rPr>
          <w:rFonts w:ascii="Times New Roman" w:hAnsi="Times New Roman" w:cs="Times New Roman"/>
        </w:rPr>
      </w:pPr>
      <w:r w:rsidRPr="006D1DF1">
        <w:rPr>
          <w:rStyle w:val="FootnoteReference"/>
          <w:rFonts w:ascii="Times New Roman" w:hAnsi="Times New Roman" w:cs="Times New Roman"/>
        </w:rPr>
        <w:footnoteRef/>
      </w:r>
      <w:r w:rsidRPr="006D1DF1">
        <w:rPr>
          <w:rFonts w:ascii="Times New Roman" w:hAnsi="Times New Roman" w:cs="Times New Roman"/>
        </w:rPr>
        <w:t xml:space="preserve"> </w:t>
      </w:r>
      <w:proofErr w:type="gramStart"/>
      <w:r>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s. 15.</w:t>
      </w:r>
    </w:p>
  </w:footnote>
  <w:footnote w:id="20">
    <w:p w:rsidR="00C0565F" w:rsidRPr="00C0565F" w:rsidRDefault="00C0565F">
      <w:pPr>
        <w:pStyle w:val="FootnoteText"/>
        <w:rPr>
          <w:rFonts w:ascii="Times New Roman" w:hAnsi="Times New Roman" w:cs="Times New Roman"/>
        </w:rPr>
      </w:pPr>
      <w:r w:rsidRPr="00C0565F">
        <w:rPr>
          <w:rStyle w:val="FootnoteReference"/>
          <w:rFonts w:ascii="Times New Roman" w:hAnsi="Times New Roman" w:cs="Times New Roman"/>
        </w:rPr>
        <w:footnoteRef/>
      </w:r>
      <w:r w:rsidRPr="00C0565F">
        <w:rPr>
          <w:rFonts w:ascii="Times New Roman" w:hAnsi="Times New Roman" w:cs="Times New Roman"/>
        </w:rPr>
        <w:t xml:space="preserve"> </w:t>
      </w:r>
      <w:r>
        <w:rPr>
          <w:rFonts w:ascii="Times New Roman" w:hAnsi="Times New Roman" w:cs="Times New Roman"/>
        </w:rPr>
        <w:t xml:space="preserve">Quebec </w:t>
      </w:r>
      <w:r>
        <w:rPr>
          <w:rFonts w:ascii="Times New Roman" w:hAnsi="Times New Roman" w:cs="Times New Roman"/>
          <w:i/>
        </w:rPr>
        <w:t>Administrative Justice Act</w:t>
      </w:r>
      <w:r>
        <w:rPr>
          <w:rFonts w:ascii="Times New Roman" w:hAnsi="Times New Roman" w:cs="Times New Roman"/>
        </w:rPr>
        <w:t>, C.Q.L.R. c. J-3,</w:t>
      </w:r>
      <w:r>
        <w:rPr>
          <w:rFonts w:ascii="Times New Roman" w:hAnsi="Times New Roman" w:cs="Times New Roman"/>
        </w:rPr>
        <w:t xml:space="preserve"> ss. 51-54. </w:t>
      </w:r>
    </w:p>
    <w:p w:rsidR="00C0565F" w:rsidRDefault="00C0565F">
      <w:pPr>
        <w:pStyle w:val="FootnoteText"/>
      </w:pPr>
    </w:p>
  </w:footnote>
  <w:footnote w:id="21">
    <w:p w:rsidR="006D1DF1" w:rsidRPr="006D1DF1" w:rsidRDefault="006D1DF1" w:rsidP="00B877DA">
      <w:pPr>
        <w:pStyle w:val="FootnoteText"/>
        <w:jc w:val="both"/>
        <w:rPr>
          <w:rFonts w:ascii="Times New Roman" w:hAnsi="Times New Roman" w:cs="Times New Roman"/>
        </w:rPr>
      </w:pPr>
      <w:r w:rsidRPr="006D1DF1">
        <w:rPr>
          <w:rStyle w:val="FootnoteReference"/>
          <w:rFonts w:ascii="Times New Roman" w:hAnsi="Times New Roman" w:cs="Times New Roman"/>
        </w:rPr>
        <w:footnoteRef/>
      </w:r>
      <w:r w:rsidRPr="006D1DF1">
        <w:rPr>
          <w:rFonts w:ascii="Times New Roman" w:hAnsi="Times New Roman" w:cs="Times New Roman"/>
        </w:rPr>
        <w:t xml:space="preserve"> </w:t>
      </w:r>
      <w:proofErr w:type="gramStart"/>
      <w:r w:rsidR="005D465F">
        <w:rPr>
          <w:rFonts w:ascii="Times New Roman" w:hAnsi="Times New Roman" w:cs="Times New Roman"/>
        </w:rPr>
        <w:t>S.A. 2009, c. A-31.5.</w:t>
      </w:r>
      <w:proofErr w:type="gramEnd"/>
    </w:p>
  </w:footnote>
  <w:footnote w:id="22">
    <w:p w:rsidR="00CF0261" w:rsidRDefault="00CF0261">
      <w:pPr>
        <w:pStyle w:val="FootnoteText"/>
        <w:rPr>
          <w:rFonts w:ascii="Times New Roman" w:hAnsi="Times New Roman" w:cs="Times New Roman"/>
        </w:rPr>
      </w:pPr>
    </w:p>
    <w:p w:rsidR="005D465F" w:rsidRDefault="005D465F">
      <w:pPr>
        <w:pStyle w:val="FootnoteText"/>
        <w:rPr>
          <w:rFonts w:ascii="Times New Roman" w:hAnsi="Times New Roman" w:cs="Times New Roman"/>
        </w:rPr>
      </w:pPr>
      <w:r w:rsidRPr="005D465F">
        <w:rPr>
          <w:rStyle w:val="FootnoteReference"/>
          <w:rFonts w:ascii="Times New Roman" w:hAnsi="Times New Roman" w:cs="Times New Roman"/>
        </w:rPr>
        <w:footnoteRef/>
      </w:r>
      <w:r w:rsidRPr="005D465F">
        <w:rPr>
          <w:rFonts w:ascii="Times New Roman" w:hAnsi="Times New Roman" w:cs="Times New Roman"/>
        </w:rPr>
        <w:t xml:space="preserve"> </w:t>
      </w:r>
      <w:r w:rsidR="00CF0261">
        <w:rPr>
          <w:rFonts w:ascii="Times New Roman" w:hAnsi="Times New Roman" w:cs="Times New Roman"/>
        </w:rPr>
        <w:t xml:space="preserve">See “Adjudicative Advisory Committees”, Nova Scotia Executive Council Agencies, Boards and Commissions website, online at </w:t>
      </w:r>
      <w:hyperlink r:id="rId2" w:history="1">
        <w:r w:rsidR="00CF0261" w:rsidRPr="001534C7">
          <w:rPr>
            <w:rStyle w:val="Hyperlink"/>
            <w:rFonts w:ascii="Times New Roman" w:hAnsi="Times New Roman" w:cs="Times New Roman"/>
          </w:rPr>
          <w:t>http://www.novascotia.ca/exec_council/abc/adjudicative-advisory-committees.asp</w:t>
        </w:r>
      </w:hyperlink>
      <w:r w:rsidR="00CF0261">
        <w:rPr>
          <w:rFonts w:ascii="Times New Roman" w:hAnsi="Times New Roman" w:cs="Times New Roman"/>
        </w:rPr>
        <w:t>.</w:t>
      </w:r>
    </w:p>
    <w:p w:rsidR="00CF0261" w:rsidRPr="005D465F" w:rsidRDefault="00CF0261">
      <w:pPr>
        <w:pStyle w:val="FootnoteText"/>
        <w:rPr>
          <w:rFonts w:ascii="Times New Roman" w:hAnsi="Times New Roman" w:cs="Times New Roman"/>
        </w:rPr>
      </w:pPr>
    </w:p>
  </w:footnote>
  <w:footnote w:id="23">
    <w:p w:rsidR="005D465F" w:rsidRDefault="006D1DF1" w:rsidP="00B877DA">
      <w:pPr>
        <w:pStyle w:val="FootnoteText"/>
        <w:jc w:val="both"/>
        <w:rPr>
          <w:rFonts w:ascii="Times New Roman" w:hAnsi="Times New Roman" w:cs="Times New Roman"/>
        </w:rPr>
      </w:pPr>
      <w:r w:rsidRPr="005D465F">
        <w:rPr>
          <w:rStyle w:val="FootnoteReference"/>
          <w:rFonts w:ascii="Times New Roman" w:hAnsi="Times New Roman" w:cs="Times New Roman"/>
        </w:rPr>
        <w:footnoteRef/>
      </w:r>
      <w:r w:rsidRPr="005D465F">
        <w:rPr>
          <w:rFonts w:ascii="Times New Roman" w:hAnsi="Times New Roman" w:cs="Times New Roman"/>
        </w:rPr>
        <w:t xml:space="preserve"> </w:t>
      </w:r>
      <w:r w:rsidR="00CF0261">
        <w:rPr>
          <w:rFonts w:ascii="Times New Roman" w:hAnsi="Times New Roman" w:cs="Times New Roman"/>
        </w:rPr>
        <w:t xml:space="preserve">See “Public Agencies Governance Framework”, Alberta Agency Governance Secretariat website, online at </w:t>
      </w:r>
      <w:hyperlink r:id="rId3" w:history="1">
        <w:r w:rsidR="00CF0261" w:rsidRPr="001534C7">
          <w:rPr>
            <w:rStyle w:val="Hyperlink"/>
            <w:rFonts w:ascii="Times New Roman" w:hAnsi="Times New Roman" w:cs="Times New Roman"/>
          </w:rPr>
          <w:t>http://alberta.ca/albertacode/images/ags-2008-02-Public-Agencies-Governance-Framework.pdf</w:t>
        </w:r>
      </w:hyperlink>
      <w:r w:rsidR="00CF0261">
        <w:rPr>
          <w:rFonts w:ascii="Times New Roman" w:hAnsi="Times New Roman" w:cs="Times New Roman"/>
        </w:rPr>
        <w:t xml:space="preserve"> at pp. 19-22.</w:t>
      </w:r>
    </w:p>
    <w:p w:rsidR="005D465F" w:rsidRPr="005D465F" w:rsidRDefault="005D465F" w:rsidP="00B877DA">
      <w:pPr>
        <w:pStyle w:val="FootnoteText"/>
        <w:jc w:val="both"/>
        <w:rPr>
          <w:rFonts w:ascii="Times New Roman" w:hAnsi="Times New Roman" w:cs="Times New Roman"/>
        </w:rPr>
      </w:pPr>
    </w:p>
  </w:footnote>
  <w:footnote w:id="24">
    <w:p w:rsidR="005D465F" w:rsidRDefault="006D1DF1" w:rsidP="00B877DA">
      <w:pPr>
        <w:pStyle w:val="FootnoteText"/>
        <w:jc w:val="both"/>
        <w:rPr>
          <w:rFonts w:ascii="Times New Roman" w:hAnsi="Times New Roman" w:cs="Times New Roman"/>
        </w:rPr>
      </w:pPr>
      <w:r w:rsidRPr="005D465F">
        <w:rPr>
          <w:rStyle w:val="FootnoteReference"/>
          <w:rFonts w:ascii="Times New Roman" w:hAnsi="Times New Roman" w:cs="Times New Roman"/>
        </w:rPr>
        <w:footnoteRef/>
      </w:r>
      <w:r w:rsidR="005D465F">
        <w:rPr>
          <w:rFonts w:ascii="Times New Roman" w:hAnsi="Times New Roman" w:cs="Times New Roman"/>
        </w:rPr>
        <w:t xml:space="preserve"> </w:t>
      </w:r>
      <w:r w:rsidR="00CF0261">
        <w:rPr>
          <w:rFonts w:ascii="Times New Roman" w:hAnsi="Times New Roman" w:cs="Times New Roman"/>
        </w:rPr>
        <w:t>S.B.C. 2004, c. 45, s. 3(1).</w:t>
      </w:r>
    </w:p>
    <w:p w:rsidR="006D1DF1" w:rsidRPr="005D465F" w:rsidRDefault="006D1DF1" w:rsidP="00B877DA">
      <w:pPr>
        <w:pStyle w:val="FootnoteText"/>
        <w:jc w:val="both"/>
        <w:rPr>
          <w:rFonts w:ascii="Times New Roman" w:hAnsi="Times New Roman" w:cs="Times New Roman"/>
        </w:rPr>
      </w:pPr>
      <w:r w:rsidRPr="005D465F">
        <w:rPr>
          <w:rFonts w:ascii="Times New Roman" w:hAnsi="Times New Roman" w:cs="Times New Roman"/>
        </w:rPr>
        <w:t xml:space="preserve"> </w:t>
      </w:r>
    </w:p>
  </w:footnote>
  <w:footnote w:id="25">
    <w:p w:rsidR="005D465F" w:rsidRPr="00CF0261" w:rsidRDefault="006D1DF1" w:rsidP="00B877DA">
      <w:pPr>
        <w:pStyle w:val="FootnoteText"/>
        <w:jc w:val="both"/>
        <w:rPr>
          <w:rFonts w:ascii="Times New Roman" w:hAnsi="Times New Roman" w:cs="Times New Roman"/>
        </w:rPr>
      </w:pPr>
      <w:r w:rsidRPr="005D465F">
        <w:rPr>
          <w:rStyle w:val="FootnoteReference"/>
          <w:rFonts w:ascii="Times New Roman" w:hAnsi="Times New Roman" w:cs="Times New Roman"/>
        </w:rPr>
        <w:footnoteRef/>
      </w:r>
      <w:r w:rsidR="00CF0261">
        <w:rPr>
          <w:rFonts w:ascii="Times New Roman" w:hAnsi="Times New Roman" w:cs="Times New Roman"/>
        </w:rPr>
        <w:t xml:space="preserve"> </w:t>
      </w:r>
      <w:r w:rsidR="00CF0261">
        <w:rPr>
          <w:rFonts w:ascii="Times New Roman" w:hAnsi="Times New Roman" w:cs="Times New Roman"/>
          <w:i/>
        </w:rPr>
        <w:t xml:space="preserve">Supra </w:t>
      </w:r>
      <w:r w:rsidR="00CF0261">
        <w:rPr>
          <w:rFonts w:ascii="Times New Roman" w:hAnsi="Times New Roman" w:cs="Times New Roman"/>
        </w:rPr>
        <w:t>note 1</w:t>
      </w:r>
      <w:r w:rsidR="00C0565F">
        <w:rPr>
          <w:rFonts w:ascii="Times New Roman" w:hAnsi="Times New Roman" w:cs="Times New Roman"/>
        </w:rPr>
        <w:t>8</w:t>
      </w:r>
      <w:r w:rsidR="00CF0261">
        <w:rPr>
          <w:rFonts w:ascii="Times New Roman" w:hAnsi="Times New Roman" w:cs="Times New Roman"/>
        </w:rPr>
        <w:t>, s. 14 and in particular s. 14(4).</w:t>
      </w:r>
    </w:p>
    <w:p w:rsidR="006D1DF1" w:rsidRPr="005D465F" w:rsidRDefault="006D1DF1" w:rsidP="00B877DA">
      <w:pPr>
        <w:pStyle w:val="FootnoteText"/>
        <w:jc w:val="both"/>
        <w:rPr>
          <w:rFonts w:ascii="Times New Roman" w:hAnsi="Times New Roman" w:cs="Times New Roman"/>
        </w:rPr>
      </w:pPr>
      <w:r w:rsidRPr="005D465F">
        <w:rPr>
          <w:rFonts w:ascii="Times New Roman" w:hAnsi="Times New Roman" w:cs="Times New Roman"/>
        </w:rPr>
        <w:t xml:space="preserve"> </w:t>
      </w:r>
    </w:p>
  </w:footnote>
  <w:footnote w:id="26">
    <w:p w:rsidR="006D1DF1" w:rsidRDefault="006D1DF1" w:rsidP="00B877DA">
      <w:pPr>
        <w:pStyle w:val="FootnoteText"/>
        <w:jc w:val="both"/>
        <w:rPr>
          <w:rFonts w:ascii="Times New Roman" w:hAnsi="Times New Roman" w:cs="Times New Roman"/>
        </w:rPr>
      </w:pPr>
      <w:r w:rsidRPr="005D465F">
        <w:rPr>
          <w:rStyle w:val="FootnoteReference"/>
          <w:rFonts w:ascii="Times New Roman" w:hAnsi="Times New Roman" w:cs="Times New Roman"/>
        </w:rPr>
        <w:footnoteRef/>
      </w:r>
      <w:r w:rsidRPr="005D465F">
        <w:rPr>
          <w:rFonts w:ascii="Times New Roman" w:hAnsi="Times New Roman" w:cs="Times New Roman"/>
        </w:rPr>
        <w:t xml:space="preserve"> </w:t>
      </w:r>
      <w:proofErr w:type="gramStart"/>
      <w:r w:rsidR="00CF0261">
        <w:rPr>
          <w:rFonts w:ascii="Times New Roman" w:hAnsi="Times New Roman" w:cs="Times New Roman"/>
          <w:i/>
        </w:rPr>
        <w:t xml:space="preserve">Ibid. </w:t>
      </w:r>
      <w:r w:rsidR="00CF0261">
        <w:rPr>
          <w:rFonts w:ascii="Times New Roman" w:hAnsi="Times New Roman" w:cs="Times New Roman"/>
        </w:rPr>
        <w:t>at s. 14(4).</w:t>
      </w:r>
      <w:proofErr w:type="gramEnd"/>
    </w:p>
    <w:p w:rsidR="00C0565F" w:rsidRPr="00CF0261" w:rsidRDefault="00C0565F" w:rsidP="00B877DA">
      <w:pPr>
        <w:pStyle w:val="FootnoteText"/>
        <w:jc w:val="both"/>
        <w:rPr>
          <w:rFonts w:ascii="Times New Roman" w:hAnsi="Times New Roman" w:cs="Times New Roman"/>
        </w:rPr>
      </w:pPr>
    </w:p>
  </w:footnote>
  <w:footnote w:id="27">
    <w:p w:rsidR="00CF0261" w:rsidRPr="00CF0261" w:rsidRDefault="00CF0261" w:rsidP="00CF0261">
      <w:pPr>
        <w:pStyle w:val="FootnoteText"/>
        <w:jc w:val="both"/>
        <w:rPr>
          <w:rFonts w:ascii="Times New Roman" w:hAnsi="Times New Roman" w:cs="Times New Roman"/>
        </w:rPr>
      </w:pPr>
      <w:r w:rsidRPr="00CF0261">
        <w:rPr>
          <w:rStyle w:val="FootnoteReference"/>
          <w:rFonts w:ascii="Times New Roman" w:hAnsi="Times New Roman" w:cs="Times New Roman"/>
        </w:rPr>
        <w:footnoteRef/>
      </w:r>
      <w:r w:rsidRPr="00CF0261">
        <w:rPr>
          <w:rFonts w:ascii="Times New Roman" w:hAnsi="Times New Roman" w:cs="Times New Roman"/>
        </w:rPr>
        <w:t xml:space="preserve"> </w:t>
      </w:r>
      <w:r>
        <w:rPr>
          <w:rFonts w:ascii="Times New Roman" w:hAnsi="Times New Roman" w:cs="Times New Roman"/>
        </w:rPr>
        <w:t xml:space="preserve">See Quebec </w:t>
      </w:r>
      <w:r>
        <w:rPr>
          <w:rFonts w:ascii="Times New Roman" w:hAnsi="Times New Roman" w:cs="Times New Roman"/>
          <w:i/>
        </w:rPr>
        <w:t xml:space="preserve">Administrative Justice </w:t>
      </w:r>
      <w:proofErr w:type="gramStart"/>
      <w:r>
        <w:rPr>
          <w:rFonts w:ascii="Times New Roman" w:hAnsi="Times New Roman" w:cs="Times New Roman"/>
          <w:i/>
        </w:rPr>
        <w:t>Act</w:t>
      </w:r>
      <w:r>
        <w:rPr>
          <w:rFonts w:ascii="Times New Roman" w:hAnsi="Times New Roman" w:cs="Times New Roman"/>
        </w:rPr>
        <w:t>,</w:t>
      </w:r>
      <w:proofErr w:type="gramEnd"/>
      <w:r>
        <w:rPr>
          <w:rFonts w:ascii="Times New Roman" w:hAnsi="Times New Roman" w:cs="Times New Roman"/>
        </w:rPr>
        <w:t xml:space="preserve"> </w:t>
      </w:r>
      <w:r w:rsidR="00C0565F">
        <w:rPr>
          <w:rFonts w:ascii="Times New Roman" w:hAnsi="Times New Roman" w:cs="Times New Roman"/>
          <w:i/>
        </w:rPr>
        <w:t xml:space="preserve">supra </w:t>
      </w:r>
      <w:r w:rsidR="00C0565F">
        <w:rPr>
          <w:rFonts w:ascii="Times New Roman" w:hAnsi="Times New Roman" w:cs="Times New Roman"/>
        </w:rPr>
        <w:t xml:space="preserve">note 20, </w:t>
      </w:r>
      <w:r>
        <w:rPr>
          <w:rFonts w:ascii="Times New Roman" w:hAnsi="Times New Roman" w:cs="Times New Roman"/>
        </w:rPr>
        <w:t xml:space="preserve">s. 58. </w:t>
      </w:r>
    </w:p>
    <w:p w:rsidR="00CF0261" w:rsidRPr="00CF0261" w:rsidRDefault="00CF0261" w:rsidP="00CF0261">
      <w:pPr>
        <w:pStyle w:val="FootnoteText"/>
        <w:jc w:val="both"/>
        <w:rPr>
          <w:rFonts w:ascii="Times New Roman" w:hAnsi="Times New Roman" w:cs="Times New Roman"/>
        </w:rPr>
      </w:pPr>
    </w:p>
  </w:footnote>
  <w:footnote w:id="28">
    <w:p w:rsidR="006D1DF1" w:rsidRPr="00514B01" w:rsidRDefault="006D1DF1" w:rsidP="00CF0261">
      <w:pPr>
        <w:pStyle w:val="FootnoteText"/>
        <w:jc w:val="both"/>
        <w:rPr>
          <w:rFonts w:ascii="Times New Roman" w:hAnsi="Times New Roman" w:cs="Times New Roman"/>
        </w:rPr>
      </w:pPr>
      <w:r w:rsidRPr="00CF0261">
        <w:rPr>
          <w:rStyle w:val="FootnoteReference"/>
          <w:rFonts w:ascii="Times New Roman" w:hAnsi="Times New Roman" w:cs="Times New Roman"/>
        </w:rPr>
        <w:footnoteRef/>
      </w:r>
      <w:r w:rsidRPr="00CF0261">
        <w:rPr>
          <w:rFonts w:ascii="Times New Roman" w:hAnsi="Times New Roman" w:cs="Times New Roman"/>
        </w:rPr>
        <w:t xml:space="preserve"> </w:t>
      </w:r>
      <w:r w:rsidR="00AE1B6E">
        <w:rPr>
          <w:rFonts w:ascii="Times New Roman" w:hAnsi="Times New Roman" w:cs="Times New Roman"/>
          <w:i/>
        </w:rPr>
        <w:t xml:space="preserve">PEI Provincial Court Judges </w:t>
      </w:r>
      <w:r w:rsidR="00AE1B6E" w:rsidRPr="00AE1B6E">
        <w:rPr>
          <w:rFonts w:ascii="Times New Roman" w:hAnsi="Times New Roman" w:cs="Times New Roman"/>
          <w:i/>
        </w:rPr>
        <w:t>Reference</w:t>
      </w:r>
      <w:r w:rsidR="00AE1B6E">
        <w:rPr>
          <w:rFonts w:ascii="Times New Roman" w:hAnsi="Times New Roman" w:cs="Times New Roman"/>
        </w:rPr>
        <w:t xml:space="preserve">, </w:t>
      </w:r>
      <w:r w:rsidR="00AE1B6E">
        <w:rPr>
          <w:rFonts w:ascii="Times New Roman" w:hAnsi="Times New Roman" w:cs="Times New Roman"/>
          <w:i/>
        </w:rPr>
        <w:t>supra</w:t>
      </w:r>
      <w:r w:rsidR="00514B01">
        <w:rPr>
          <w:rFonts w:ascii="Times New Roman" w:hAnsi="Times New Roman" w:cs="Times New Roman"/>
          <w:i/>
        </w:rPr>
        <w:t xml:space="preserve"> </w:t>
      </w:r>
      <w:r w:rsidR="00514B01">
        <w:rPr>
          <w:rFonts w:ascii="Times New Roman" w:hAnsi="Times New Roman" w:cs="Times New Roman"/>
        </w:rPr>
        <w:t>note 7</w:t>
      </w:r>
      <w:r w:rsidR="00AE1B6E">
        <w:rPr>
          <w:rFonts w:ascii="Times New Roman" w:hAnsi="Times New Roman" w:cs="Times New Roman"/>
        </w:rPr>
        <w:t>,</w:t>
      </w:r>
      <w:r w:rsidR="00514B01">
        <w:rPr>
          <w:rFonts w:ascii="Times New Roman" w:hAnsi="Times New Roman" w:cs="Times New Roman"/>
        </w:rPr>
        <w:t xml:space="preserve"> at paras. 133-146.</w:t>
      </w:r>
    </w:p>
  </w:footnote>
  <w:footnote w:id="29">
    <w:p w:rsidR="006D1DF1" w:rsidRDefault="006D1DF1" w:rsidP="00B877DA">
      <w:pPr>
        <w:pStyle w:val="FootnoteText"/>
        <w:jc w:val="both"/>
        <w:rPr>
          <w:rFonts w:ascii="Times New Roman" w:hAnsi="Times New Roman" w:cs="Times New Roman"/>
        </w:rPr>
      </w:pPr>
      <w:r w:rsidRPr="008006CA">
        <w:rPr>
          <w:rStyle w:val="FootnoteReference"/>
          <w:rFonts w:ascii="Times New Roman" w:hAnsi="Times New Roman" w:cs="Times New Roman"/>
        </w:rPr>
        <w:footnoteRef/>
      </w:r>
      <w:r w:rsidRPr="008006CA">
        <w:rPr>
          <w:rFonts w:ascii="Times New Roman" w:hAnsi="Times New Roman" w:cs="Times New Roman"/>
        </w:rPr>
        <w:t xml:space="preserve"> Philip </w:t>
      </w:r>
      <w:proofErr w:type="spellStart"/>
      <w:r w:rsidRPr="008006CA">
        <w:rPr>
          <w:rFonts w:ascii="Times New Roman" w:hAnsi="Times New Roman" w:cs="Times New Roman"/>
        </w:rPr>
        <w:t>Bryden</w:t>
      </w:r>
      <w:proofErr w:type="spellEnd"/>
      <w:r w:rsidRPr="008006CA">
        <w:rPr>
          <w:rFonts w:ascii="Times New Roman" w:hAnsi="Times New Roman" w:cs="Times New Roman"/>
        </w:rPr>
        <w:t xml:space="preserve"> and </w:t>
      </w:r>
      <w:proofErr w:type="spellStart"/>
      <w:r w:rsidRPr="008006CA">
        <w:rPr>
          <w:rFonts w:ascii="Times New Roman" w:hAnsi="Times New Roman" w:cs="Times New Roman"/>
        </w:rPr>
        <w:t>Jula</w:t>
      </w:r>
      <w:proofErr w:type="spellEnd"/>
      <w:r w:rsidRPr="008006CA">
        <w:rPr>
          <w:rFonts w:ascii="Times New Roman" w:hAnsi="Times New Roman" w:cs="Times New Roman"/>
        </w:rPr>
        <w:t xml:space="preserve"> Hughes, “</w:t>
      </w:r>
      <w:r w:rsidR="008006CA" w:rsidRPr="008006CA">
        <w:rPr>
          <w:rFonts w:ascii="Times New Roman" w:hAnsi="Times New Roman" w:cs="Times New Roman"/>
        </w:rPr>
        <w:t xml:space="preserve">The </w:t>
      </w:r>
      <w:r w:rsidRPr="008006CA">
        <w:rPr>
          <w:rFonts w:ascii="Times New Roman" w:hAnsi="Times New Roman" w:cs="Times New Roman"/>
        </w:rPr>
        <w:t>Tip of the Iceberg</w:t>
      </w:r>
      <w:r w:rsidR="008006CA">
        <w:rPr>
          <w:rFonts w:ascii="Times New Roman" w:hAnsi="Times New Roman" w:cs="Times New Roman"/>
        </w:rPr>
        <w:t>:</w:t>
      </w:r>
      <w:r w:rsidR="008006CA" w:rsidRPr="008006CA">
        <w:rPr>
          <w:rFonts w:ascii="Times New Roman" w:hAnsi="Times New Roman" w:cs="Times New Roman"/>
        </w:rPr>
        <w:t xml:space="preserve"> A Survey of the Philosophy and Practice of Canadian Provincial and Territorial Judges Concerning Judicial Disqualification” (2011), 48 </w:t>
      </w:r>
      <w:r w:rsidR="008006CA" w:rsidRPr="008006CA">
        <w:rPr>
          <w:rFonts w:ascii="Times New Roman" w:hAnsi="Times New Roman" w:cs="Times New Roman"/>
          <w:i/>
        </w:rPr>
        <w:t xml:space="preserve">Alberta Law Review </w:t>
      </w:r>
      <w:r w:rsidR="008006CA" w:rsidRPr="008006CA">
        <w:rPr>
          <w:rFonts w:ascii="Times New Roman" w:hAnsi="Times New Roman" w:cs="Times New Roman"/>
        </w:rPr>
        <w:t>569</w:t>
      </w:r>
      <w:r w:rsidR="008006CA">
        <w:rPr>
          <w:rFonts w:ascii="Times New Roman" w:hAnsi="Times New Roman" w:cs="Times New Roman"/>
        </w:rPr>
        <w:t>.</w:t>
      </w:r>
    </w:p>
    <w:p w:rsidR="00514B01" w:rsidRPr="008006CA" w:rsidRDefault="00514B01" w:rsidP="00B877DA">
      <w:pPr>
        <w:pStyle w:val="FootnoteText"/>
        <w:jc w:val="both"/>
        <w:rPr>
          <w:rFonts w:ascii="Times New Roman" w:hAnsi="Times New Roman" w:cs="Times New Roman"/>
        </w:rPr>
      </w:pPr>
    </w:p>
  </w:footnote>
  <w:footnote w:id="30">
    <w:p w:rsidR="006D1DF1" w:rsidRPr="006D1DF1" w:rsidRDefault="006D1DF1" w:rsidP="00B877DA">
      <w:pPr>
        <w:pStyle w:val="FootnoteText"/>
        <w:jc w:val="both"/>
        <w:rPr>
          <w:rFonts w:ascii="Times New Roman" w:hAnsi="Times New Roman" w:cs="Times New Roman"/>
        </w:rPr>
      </w:pPr>
      <w:r w:rsidRPr="006D1DF1">
        <w:rPr>
          <w:rStyle w:val="FootnoteReference"/>
          <w:rFonts w:ascii="Times New Roman" w:hAnsi="Times New Roman" w:cs="Times New Roman"/>
        </w:rPr>
        <w:footnoteRef/>
      </w:r>
      <w:r w:rsidRPr="006D1DF1">
        <w:rPr>
          <w:rFonts w:ascii="Times New Roman" w:hAnsi="Times New Roman" w:cs="Times New Roman"/>
        </w:rPr>
        <w:t xml:space="preserve"> </w:t>
      </w:r>
      <w:r w:rsidR="008006CA">
        <w:rPr>
          <w:rFonts w:ascii="Times New Roman" w:hAnsi="Times New Roman" w:cs="Times New Roman"/>
        </w:rPr>
        <w:t xml:space="preserve">Online at </w:t>
      </w:r>
      <w:r w:rsidR="008006CA" w:rsidRPr="008006CA">
        <w:rPr>
          <w:rFonts w:ascii="Times New Roman" w:hAnsi="Times New Roman" w:cs="Times New Roman"/>
        </w:rPr>
        <w:t>https://soar.on.ca/resources/soar-publications/17-resources/25-performance-management</w:t>
      </w:r>
    </w:p>
  </w:footnote>
  <w:footnote w:id="31">
    <w:p w:rsidR="005F319C" w:rsidRPr="005F319C" w:rsidRDefault="005F319C">
      <w:pPr>
        <w:pStyle w:val="FootnoteText"/>
        <w:rPr>
          <w:rFonts w:ascii="Times New Roman" w:hAnsi="Times New Roman" w:cs="Times New Roman"/>
        </w:rPr>
      </w:pPr>
      <w:r w:rsidRPr="005F319C">
        <w:rPr>
          <w:rStyle w:val="FootnoteReference"/>
          <w:rFonts w:ascii="Times New Roman" w:hAnsi="Times New Roman" w:cs="Times New Roman"/>
        </w:rPr>
        <w:footnoteRef/>
      </w:r>
      <w:r w:rsidRPr="005F319C">
        <w:rPr>
          <w:rFonts w:ascii="Times New Roman" w:hAnsi="Times New Roman" w:cs="Times New Roman"/>
        </w:rPr>
        <w:t xml:space="preserve"> </w:t>
      </w:r>
      <w:r>
        <w:rPr>
          <w:rFonts w:ascii="Times New Roman" w:hAnsi="Times New Roman" w:cs="Times New Roman"/>
        </w:rPr>
        <w:t xml:space="preserve">See, for example, </w:t>
      </w:r>
      <w:r>
        <w:rPr>
          <w:rFonts w:ascii="Times New Roman" w:hAnsi="Times New Roman" w:cs="Times New Roman"/>
          <w:i/>
        </w:rPr>
        <w:t>Fundy Linen Service Inc. v. Workplace Health, Safety and Compensation Commission</w:t>
      </w:r>
      <w:r>
        <w:rPr>
          <w:rFonts w:ascii="Times New Roman" w:hAnsi="Times New Roman" w:cs="Times New Roman"/>
        </w:rPr>
        <w:t xml:space="preserve">, 2009 NBCA 13; </w:t>
      </w:r>
      <w:proofErr w:type="spellStart"/>
      <w:r w:rsidR="00E93C8C">
        <w:rPr>
          <w:rFonts w:ascii="Times New Roman" w:hAnsi="Times New Roman" w:cs="Times New Roman"/>
          <w:i/>
        </w:rPr>
        <w:t>Rothesay</w:t>
      </w:r>
      <w:proofErr w:type="spellEnd"/>
      <w:r w:rsidR="00E93C8C">
        <w:rPr>
          <w:rFonts w:ascii="Times New Roman" w:hAnsi="Times New Roman" w:cs="Times New Roman"/>
          <w:i/>
        </w:rPr>
        <w:t xml:space="preserve"> Residents Association Inc. v. </w:t>
      </w:r>
      <w:proofErr w:type="spellStart"/>
      <w:r w:rsidR="00E93C8C">
        <w:rPr>
          <w:rFonts w:ascii="Times New Roman" w:hAnsi="Times New Roman" w:cs="Times New Roman"/>
          <w:i/>
        </w:rPr>
        <w:t>Rothesay</w:t>
      </w:r>
      <w:proofErr w:type="spellEnd"/>
      <w:r w:rsidR="00E93C8C">
        <w:rPr>
          <w:rFonts w:ascii="Times New Roman" w:hAnsi="Times New Roman" w:cs="Times New Roman"/>
          <w:i/>
        </w:rPr>
        <w:t xml:space="preserve"> Heritage Preservation &amp; Review Board</w:t>
      </w:r>
      <w:r w:rsidR="00E93C8C">
        <w:rPr>
          <w:rFonts w:ascii="Times New Roman" w:hAnsi="Times New Roman" w:cs="Times New Roman"/>
        </w:rPr>
        <w:t>, 2006 NBCA 61;</w:t>
      </w:r>
      <w:r w:rsidR="00E93C8C" w:rsidRPr="00E93C8C">
        <w:rPr>
          <w:rFonts w:ascii="Times New Roman" w:hAnsi="Times New Roman" w:cs="Times New Roman"/>
          <w:i/>
        </w:rPr>
        <w:t xml:space="preserve"> </w:t>
      </w:r>
      <w:r w:rsidR="00E93C8C" w:rsidRPr="005F319C">
        <w:rPr>
          <w:rFonts w:ascii="Times New Roman" w:hAnsi="Times New Roman" w:cs="Times New Roman"/>
          <w:i/>
        </w:rPr>
        <w:t>Fletcher v. Canada (Minister of Citizenship and Immigration)</w:t>
      </w:r>
      <w:r w:rsidR="00E93C8C">
        <w:rPr>
          <w:rFonts w:ascii="Times New Roman" w:hAnsi="Times New Roman" w:cs="Times New Roman"/>
        </w:rPr>
        <w:t>, 2008 FC 909</w:t>
      </w:r>
      <w:r>
        <w:rPr>
          <w:rFonts w:ascii="Times New Roman" w:hAnsi="Times New Roman" w:cs="Times New Roman"/>
        </w:rPr>
        <w:t>.</w:t>
      </w:r>
    </w:p>
    <w:p w:rsidR="005F319C" w:rsidRDefault="005F319C">
      <w:pPr>
        <w:pStyle w:val="FootnoteText"/>
      </w:pPr>
    </w:p>
  </w:footnote>
  <w:footnote w:id="32">
    <w:p w:rsidR="008006CA" w:rsidRPr="00254182" w:rsidRDefault="006D1DF1" w:rsidP="00514B01">
      <w:pPr>
        <w:autoSpaceDE w:val="0"/>
        <w:autoSpaceDN w:val="0"/>
        <w:adjustRightInd w:val="0"/>
        <w:spacing w:after="0" w:line="240" w:lineRule="auto"/>
        <w:jc w:val="both"/>
        <w:rPr>
          <w:rFonts w:ascii="Times New Roman" w:hAnsi="Times New Roman" w:cs="Times New Roman"/>
          <w:color w:val="000000"/>
          <w:sz w:val="20"/>
          <w:szCs w:val="20"/>
          <w:lang w:val="en-US"/>
        </w:rPr>
      </w:pPr>
      <w:r w:rsidRPr="00254182">
        <w:rPr>
          <w:rStyle w:val="FootnoteReference"/>
          <w:rFonts w:ascii="Times New Roman" w:hAnsi="Times New Roman" w:cs="Times New Roman"/>
          <w:sz w:val="20"/>
          <w:szCs w:val="20"/>
        </w:rPr>
        <w:footnoteRef/>
      </w:r>
      <w:r w:rsidRPr="00254182">
        <w:rPr>
          <w:rFonts w:ascii="Times New Roman" w:hAnsi="Times New Roman" w:cs="Times New Roman"/>
          <w:sz w:val="20"/>
          <w:szCs w:val="20"/>
        </w:rPr>
        <w:t xml:space="preserve"> </w:t>
      </w:r>
      <w:r w:rsidR="008006CA" w:rsidRPr="00254182">
        <w:rPr>
          <w:rFonts w:ascii="Times New Roman" w:hAnsi="Times New Roman" w:cs="Times New Roman"/>
          <w:sz w:val="20"/>
          <w:szCs w:val="20"/>
        </w:rPr>
        <w:t xml:space="preserve">See, for example, </w:t>
      </w:r>
      <w:r w:rsidR="008006CA" w:rsidRPr="00254182">
        <w:rPr>
          <w:rFonts w:ascii="Times New Roman" w:hAnsi="Times New Roman" w:cs="Times New Roman"/>
          <w:sz w:val="20"/>
          <w:szCs w:val="20"/>
          <w:lang w:val="en-US"/>
        </w:rPr>
        <w:t xml:space="preserve">Raymond </w:t>
      </w:r>
      <w:proofErr w:type="spellStart"/>
      <w:r w:rsidR="008006CA" w:rsidRPr="00254182">
        <w:rPr>
          <w:rFonts w:ascii="Times New Roman" w:hAnsi="Times New Roman" w:cs="Times New Roman"/>
          <w:sz w:val="20"/>
          <w:szCs w:val="20"/>
          <w:lang w:val="en-US"/>
        </w:rPr>
        <w:t>McKoski</w:t>
      </w:r>
      <w:proofErr w:type="spellEnd"/>
      <w:r w:rsidR="008006CA" w:rsidRPr="00254182">
        <w:rPr>
          <w:rFonts w:ascii="Times New Roman" w:hAnsi="Times New Roman" w:cs="Times New Roman"/>
          <w:sz w:val="20"/>
          <w:szCs w:val="20"/>
          <w:lang w:val="en-US"/>
        </w:rPr>
        <w:t xml:space="preserve">, “Disqualifying Judges When Their Impartiality Might Reasonably Be Questioned: Moving Beyond a Failed Standard” (2014), 56 </w:t>
      </w:r>
      <w:r w:rsidR="008006CA" w:rsidRPr="00254182">
        <w:rPr>
          <w:rFonts w:ascii="Times New Roman" w:hAnsi="Times New Roman" w:cs="Times New Roman"/>
          <w:i/>
          <w:sz w:val="20"/>
          <w:szCs w:val="20"/>
          <w:lang w:val="en-US"/>
        </w:rPr>
        <w:t xml:space="preserve">Arizona L Rev </w:t>
      </w:r>
      <w:r w:rsidR="008006CA" w:rsidRPr="00254182">
        <w:rPr>
          <w:rFonts w:ascii="Times New Roman" w:hAnsi="Times New Roman" w:cs="Times New Roman"/>
          <w:sz w:val="20"/>
          <w:szCs w:val="20"/>
          <w:lang w:val="en-US"/>
        </w:rPr>
        <w:t xml:space="preserve">411; </w:t>
      </w:r>
      <w:r w:rsidR="00514B01" w:rsidRPr="00254182">
        <w:rPr>
          <w:rFonts w:ascii="Times New Roman" w:hAnsi="Times New Roman" w:cs="Times New Roman"/>
          <w:color w:val="000000"/>
          <w:sz w:val="20"/>
          <w:szCs w:val="20"/>
          <w:lang w:val="en-US"/>
        </w:rPr>
        <w:t>James Sample and Michael Young, “Invigorating Judicial Disqualification:</w:t>
      </w:r>
      <w:r w:rsidR="00514B01">
        <w:rPr>
          <w:rFonts w:ascii="Times New Roman" w:hAnsi="Times New Roman" w:cs="Times New Roman"/>
          <w:color w:val="000000"/>
          <w:sz w:val="20"/>
          <w:szCs w:val="20"/>
          <w:lang w:val="en-US"/>
        </w:rPr>
        <w:t xml:space="preserve"> </w:t>
      </w:r>
      <w:r w:rsidR="00514B01" w:rsidRPr="00254182">
        <w:rPr>
          <w:rFonts w:ascii="Times New Roman" w:hAnsi="Times New Roman" w:cs="Times New Roman"/>
          <w:color w:val="000000"/>
          <w:sz w:val="20"/>
          <w:szCs w:val="20"/>
          <w:lang w:val="en-US"/>
        </w:rPr>
        <w:t>Ten Potential Reforms” (2008)</w:t>
      </w:r>
      <w:r w:rsidR="00514B01">
        <w:rPr>
          <w:rFonts w:ascii="Times New Roman" w:hAnsi="Times New Roman" w:cs="Times New Roman"/>
          <w:color w:val="000000"/>
          <w:sz w:val="20"/>
          <w:szCs w:val="20"/>
          <w:lang w:val="en-US"/>
        </w:rPr>
        <w:t>,</w:t>
      </w:r>
      <w:r w:rsidR="00514B01" w:rsidRPr="00254182">
        <w:rPr>
          <w:rFonts w:ascii="Times New Roman" w:hAnsi="Times New Roman" w:cs="Times New Roman"/>
          <w:color w:val="000000"/>
          <w:sz w:val="20"/>
          <w:szCs w:val="20"/>
          <w:lang w:val="en-US"/>
        </w:rPr>
        <w:t xml:space="preserve"> 92 </w:t>
      </w:r>
      <w:r w:rsidR="00514B01" w:rsidRPr="00254182">
        <w:rPr>
          <w:rFonts w:ascii="Times New Roman" w:hAnsi="Times New Roman" w:cs="Times New Roman"/>
          <w:i/>
          <w:color w:val="000000"/>
          <w:sz w:val="20"/>
          <w:szCs w:val="20"/>
          <w:lang w:val="en-US"/>
        </w:rPr>
        <w:t>Judicature</w:t>
      </w:r>
      <w:r w:rsidR="00514B01" w:rsidRPr="00254182">
        <w:rPr>
          <w:rFonts w:ascii="Times New Roman" w:hAnsi="Times New Roman" w:cs="Times New Roman"/>
          <w:color w:val="000000"/>
          <w:sz w:val="20"/>
          <w:szCs w:val="20"/>
          <w:lang w:val="en-US"/>
        </w:rPr>
        <w:t xml:space="preserve"> 26; </w:t>
      </w:r>
      <w:r w:rsidR="008006CA" w:rsidRPr="00254182">
        <w:rPr>
          <w:rFonts w:ascii="Times New Roman" w:hAnsi="Times New Roman" w:cs="Times New Roman"/>
          <w:color w:val="000000"/>
          <w:sz w:val="20"/>
          <w:szCs w:val="20"/>
          <w:lang w:val="en-US"/>
        </w:rPr>
        <w:t xml:space="preserve">Charles </w:t>
      </w:r>
      <w:proofErr w:type="spellStart"/>
      <w:r w:rsidR="008006CA" w:rsidRPr="00254182">
        <w:rPr>
          <w:rFonts w:ascii="Times New Roman" w:hAnsi="Times New Roman" w:cs="Times New Roman"/>
          <w:color w:val="000000"/>
          <w:sz w:val="20"/>
          <w:szCs w:val="20"/>
          <w:lang w:val="en-US"/>
        </w:rPr>
        <w:t>Geyh</w:t>
      </w:r>
      <w:proofErr w:type="spellEnd"/>
      <w:r w:rsidR="008006CA" w:rsidRPr="00254182">
        <w:rPr>
          <w:rFonts w:ascii="Times New Roman" w:hAnsi="Times New Roman" w:cs="Times New Roman"/>
          <w:color w:val="000000"/>
          <w:sz w:val="20"/>
          <w:szCs w:val="20"/>
          <w:lang w:val="en-US"/>
        </w:rPr>
        <w:t>, “Draft Report of the ABA Judicial Disqualification Project” (2008), online: &lt;http://www.americanbar.org/content/dam/aba/administrative/judicial_independence/jdp_geyh_report.</w:t>
      </w:r>
    </w:p>
    <w:p w:rsidR="006D1DF1" w:rsidRPr="00254182" w:rsidRDefault="008006CA" w:rsidP="00514B01">
      <w:pPr>
        <w:autoSpaceDE w:val="0"/>
        <w:autoSpaceDN w:val="0"/>
        <w:adjustRightInd w:val="0"/>
        <w:spacing w:after="0" w:line="240" w:lineRule="auto"/>
        <w:jc w:val="both"/>
        <w:rPr>
          <w:rFonts w:ascii="Times New Roman" w:hAnsi="Times New Roman" w:cs="Times New Roman"/>
          <w:sz w:val="20"/>
          <w:szCs w:val="20"/>
        </w:rPr>
      </w:pPr>
      <w:proofErr w:type="gramStart"/>
      <w:r w:rsidRPr="00254182">
        <w:rPr>
          <w:rFonts w:ascii="Times New Roman" w:hAnsi="Times New Roman" w:cs="Times New Roman"/>
          <w:color w:val="000000"/>
          <w:sz w:val="20"/>
          <w:szCs w:val="20"/>
          <w:lang w:val="en-US"/>
        </w:rPr>
        <w:t>authcheckdam.pdf</w:t>
      </w:r>
      <w:r w:rsidRPr="00254182">
        <w:rPr>
          <w:rFonts w:ascii="Times New Roman" w:hAnsi="Times New Roman" w:cs="Times New Roman"/>
          <w:color w:val="3953A6"/>
          <w:sz w:val="20"/>
          <w:szCs w:val="20"/>
          <w:lang w:val="en-US"/>
        </w:rPr>
        <w:t>&gt;</w:t>
      </w:r>
      <w:r w:rsidRPr="00254182">
        <w:rPr>
          <w:rFonts w:ascii="Times New Roman" w:hAnsi="Times New Roman" w:cs="Times New Roman"/>
          <w:color w:val="000000"/>
          <w:sz w:val="20"/>
          <w:szCs w:val="20"/>
          <w:lang w:val="en-US"/>
        </w:rPr>
        <w:t>; Debra Lyn Bassett, “Judicial Disqualification</w:t>
      </w:r>
      <w:r w:rsidR="00514B01">
        <w:rPr>
          <w:rFonts w:ascii="Times New Roman" w:hAnsi="Times New Roman" w:cs="Times New Roman"/>
          <w:color w:val="000000"/>
          <w:sz w:val="20"/>
          <w:szCs w:val="20"/>
          <w:lang w:val="en-US"/>
        </w:rPr>
        <w:t xml:space="preserve"> </w:t>
      </w:r>
      <w:r w:rsidRPr="00254182">
        <w:rPr>
          <w:rFonts w:ascii="Times New Roman" w:hAnsi="Times New Roman" w:cs="Times New Roman"/>
          <w:color w:val="000000"/>
          <w:sz w:val="20"/>
          <w:szCs w:val="20"/>
          <w:lang w:val="en-US"/>
        </w:rPr>
        <w:t xml:space="preserve">in the Federal Appellate Courts” (2002) 87 </w:t>
      </w:r>
      <w:r w:rsidRPr="00254182">
        <w:rPr>
          <w:rFonts w:ascii="Times New Roman" w:hAnsi="Times New Roman" w:cs="Times New Roman"/>
          <w:i/>
          <w:color w:val="000000"/>
          <w:sz w:val="20"/>
          <w:szCs w:val="20"/>
          <w:lang w:val="en-US"/>
        </w:rPr>
        <w:t>Iowa L Rev</w:t>
      </w:r>
      <w:r w:rsidRPr="00254182">
        <w:rPr>
          <w:rFonts w:ascii="Times New Roman" w:hAnsi="Times New Roman" w:cs="Times New Roman"/>
          <w:color w:val="000000"/>
          <w:sz w:val="20"/>
          <w:szCs w:val="20"/>
          <w:lang w:val="en-US"/>
        </w:rPr>
        <w:t xml:space="preserve"> 1213</w:t>
      </w:r>
      <w:r w:rsidR="00254182" w:rsidRPr="00254182">
        <w:rPr>
          <w:rFonts w:ascii="Times New Roman" w:hAnsi="Times New Roman" w:cs="Times New Roman"/>
          <w:color w:val="000000"/>
          <w:sz w:val="20"/>
          <w:szCs w:val="20"/>
          <w:lang w:val="en-US"/>
        </w:rPr>
        <w:t>.</w:t>
      </w:r>
      <w:proofErr w:type="gramEnd"/>
    </w:p>
    <w:p w:rsidR="006D1DF1" w:rsidRPr="006D1DF1" w:rsidRDefault="006D1DF1" w:rsidP="00B877DA">
      <w:pPr>
        <w:pStyle w:val="FootnoteText"/>
        <w:jc w:val="both"/>
        <w:rPr>
          <w:rFonts w:ascii="Times New Roman" w:hAnsi="Times New Roman" w:cs="Times New Roman"/>
        </w:rPr>
      </w:pPr>
    </w:p>
  </w:footnote>
  <w:footnote w:id="33">
    <w:p w:rsidR="006D1DF1" w:rsidRDefault="006D1DF1" w:rsidP="00B877DA">
      <w:pPr>
        <w:pStyle w:val="FootnoteText"/>
        <w:jc w:val="both"/>
        <w:rPr>
          <w:rFonts w:ascii="Times New Roman" w:hAnsi="Times New Roman" w:cs="Times New Roman"/>
        </w:rPr>
      </w:pPr>
      <w:r w:rsidRPr="006D1DF1">
        <w:rPr>
          <w:rStyle w:val="FootnoteReference"/>
          <w:rFonts w:ascii="Times New Roman" w:hAnsi="Times New Roman" w:cs="Times New Roman"/>
        </w:rPr>
        <w:footnoteRef/>
      </w:r>
      <w:r w:rsidRPr="006D1DF1">
        <w:rPr>
          <w:rFonts w:ascii="Times New Roman" w:hAnsi="Times New Roman" w:cs="Times New Roman"/>
        </w:rPr>
        <w:t xml:space="preserve"> </w:t>
      </w:r>
      <w:r w:rsidR="007A1FAB" w:rsidRPr="007A1FAB">
        <w:rPr>
          <w:rFonts w:ascii="Times New Roman" w:hAnsi="Times New Roman" w:cs="Times New Roman"/>
        </w:rPr>
        <w:t>See Nancy J. King, “Batson for the Bench?</w:t>
      </w:r>
      <w:r w:rsidR="007A1FAB">
        <w:rPr>
          <w:rFonts w:ascii="Times New Roman" w:hAnsi="Times New Roman" w:cs="Times New Roman"/>
        </w:rPr>
        <w:t xml:space="preserve"> Regulating Peremptory Challenge of Judges” (1998)</w:t>
      </w:r>
      <w:r w:rsidR="00415736">
        <w:rPr>
          <w:rFonts w:ascii="Times New Roman" w:hAnsi="Times New Roman" w:cs="Times New Roman"/>
        </w:rPr>
        <w:t>,</w:t>
      </w:r>
      <w:r w:rsidR="007A1FAB">
        <w:rPr>
          <w:rFonts w:ascii="Times New Roman" w:hAnsi="Times New Roman" w:cs="Times New Roman"/>
        </w:rPr>
        <w:t xml:space="preserve"> 73 </w:t>
      </w:r>
      <w:r w:rsidR="007A1FAB">
        <w:rPr>
          <w:rFonts w:ascii="Times New Roman" w:hAnsi="Times New Roman" w:cs="Times New Roman"/>
          <w:i/>
        </w:rPr>
        <w:t xml:space="preserve">Chicago-Kent L. Rev. </w:t>
      </w:r>
      <w:r w:rsidR="007A1FAB">
        <w:rPr>
          <w:rFonts w:ascii="Times New Roman" w:hAnsi="Times New Roman" w:cs="Times New Roman"/>
        </w:rPr>
        <w:t>509.</w:t>
      </w:r>
    </w:p>
    <w:p w:rsidR="00514B01" w:rsidRPr="007A1FAB" w:rsidRDefault="00514B01" w:rsidP="00B877DA">
      <w:pPr>
        <w:pStyle w:val="FootnoteText"/>
        <w:jc w:val="both"/>
        <w:rPr>
          <w:rFonts w:ascii="Times New Roman" w:hAnsi="Times New Roman" w:cs="Times New Roman"/>
        </w:rPr>
      </w:pPr>
    </w:p>
  </w:footnote>
  <w:footnote w:id="34">
    <w:p w:rsidR="00072C4F" w:rsidRPr="00072C4F" w:rsidRDefault="00072C4F">
      <w:pPr>
        <w:pStyle w:val="FootnoteText"/>
        <w:rPr>
          <w:rFonts w:ascii="Times New Roman" w:hAnsi="Times New Roman" w:cs="Times New Roman"/>
        </w:rPr>
      </w:pPr>
      <w:r w:rsidRPr="00072C4F">
        <w:rPr>
          <w:rStyle w:val="FootnoteReference"/>
          <w:rFonts w:ascii="Times New Roman" w:hAnsi="Times New Roman" w:cs="Times New Roman"/>
        </w:rPr>
        <w:footnoteRef/>
      </w:r>
      <w:r w:rsidRPr="00072C4F">
        <w:rPr>
          <w:rFonts w:ascii="Times New Roman" w:hAnsi="Times New Roman" w:cs="Times New Roman"/>
        </w:rPr>
        <w:t xml:space="preserve"> </w:t>
      </w:r>
      <w:r>
        <w:rPr>
          <w:rFonts w:ascii="Times New Roman" w:hAnsi="Times New Roman" w:cs="Times New Roman"/>
        </w:rPr>
        <w:t xml:space="preserve">See Murray Rankin, “The Cabinet and the Agencies: Toward Accountability in British Columbia” (1985), 19 </w:t>
      </w:r>
      <w:r>
        <w:rPr>
          <w:rFonts w:ascii="Times New Roman" w:hAnsi="Times New Roman" w:cs="Times New Roman"/>
          <w:i/>
        </w:rPr>
        <w:t xml:space="preserve">University of British Columbia Law Review </w:t>
      </w:r>
      <w:r>
        <w:rPr>
          <w:rFonts w:ascii="Times New Roman" w:hAnsi="Times New Roman" w:cs="Times New Roman"/>
        </w:rPr>
        <w:t xml:space="preserve">25. </w:t>
      </w:r>
    </w:p>
    <w:p w:rsidR="00072C4F" w:rsidRDefault="00072C4F">
      <w:pPr>
        <w:pStyle w:val="FootnoteText"/>
      </w:pPr>
    </w:p>
  </w:footnote>
  <w:footnote w:id="35">
    <w:p w:rsidR="00CD6DC9" w:rsidRDefault="00CD6DC9" w:rsidP="00B877DA">
      <w:pPr>
        <w:pStyle w:val="FootnoteText"/>
        <w:jc w:val="both"/>
        <w:rPr>
          <w:rFonts w:ascii="Times New Roman" w:hAnsi="Times New Roman" w:cs="Times New Roman"/>
        </w:rPr>
      </w:pPr>
      <w:r w:rsidRPr="00CD6DC9">
        <w:rPr>
          <w:rStyle w:val="FootnoteReference"/>
          <w:rFonts w:ascii="Times New Roman" w:hAnsi="Times New Roman" w:cs="Times New Roman"/>
        </w:rPr>
        <w:footnoteRef/>
      </w:r>
      <w:r>
        <w:rPr>
          <w:rFonts w:ascii="Times New Roman" w:hAnsi="Times New Roman" w:cs="Times New Roman"/>
        </w:rPr>
        <w:t xml:space="preserve"> See </w:t>
      </w:r>
      <w:r w:rsidR="00DD69D8">
        <w:rPr>
          <w:rFonts w:ascii="Times New Roman" w:hAnsi="Times New Roman" w:cs="Times New Roman"/>
          <w:i/>
        </w:rPr>
        <w:t xml:space="preserve">Canada (Attorney General) v. </w:t>
      </w:r>
      <w:proofErr w:type="spellStart"/>
      <w:r w:rsidR="00DD69D8" w:rsidRPr="00DD69D8">
        <w:rPr>
          <w:rFonts w:ascii="Times New Roman" w:hAnsi="Times New Roman" w:cs="Times New Roman"/>
          <w:i/>
        </w:rPr>
        <w:t>Mavi</w:t>
      </w:r>
      <w:proofErr w:type="spellEnd"/>
      <w:r w:rsidR="00DD69D8">
        <w:rPr>
          <w:rFonts w:ascii="Times New Roman" w:hAnsi="Times New Roman" w:cs="Times New Roman"/>
        </w:rPr>
        <w:t xml:space="preserve">, [2011] 2 SCR 504, 2011 SCC 30 at paras. </w:t>
      </w:r>
      <w:proofErr w:type="gramStart"/>
      <w:r w:rsidR="00DD69D8">
        <w:rPr>
          <w:rFonts w:ascii="Times New Roman" w:hAnsi="Times New Roman" w:cs="Times New Roman"/>
        </w:rPr>
        <w:t xml:space="preserve">65-67; </w:t>
      </w:r>
      <w:r w:rsidRPr="00DD69D8">
        <w:rPr>
          <w:rFonts w:ascii="Times New Roman" w:hAnsi="Times New Roman" w:cs="Times New Roman"/>
          <w:i/>
        </w:rPr>
        <w:t>Maple</w:t>
      </w:r>
      <w:r>
        <w:rPr>
          <w:rFonts w:ascii="Times New Roman" w:hAnsi="Times New Roman" w:cs="Times New Roman"/>
          <w:i/>
        </w:rPr>
        <w:t xml:space="preserve"> Lodge Farms v. Government of Canada</w:t>
      </w:r>
      <w:r>
        <w:rPr>
          <w:rFonts w:ascii="Times New Roman" w:hAnsi="Times New Roman" w:cs="Times New Roman"/>
        </w:rPr>
        <w:t>, [1982] 2 SCR 2.</w:t>
      </w:r>
      <w:proofErr w:type="gramEnd"/>
    </w:p>
    <w:p w:rsidR="00CD6DC9" w:rsidRPr="00CD6DC9" w:rsidRDefault="00CD6DC9" w:rsidP="00B877DA">
      <w:pPr>
        <w:pStyle w:val="FootnoteText"/>
        <w:jc w:val="both"/>
        <w:rPr>
          <w:rFonts w:ascii="Times New Roman" w:hAnsi="Times New Roman" w:cs="Times New Roman"/>
        </w:rPr>
      </w:pPr>
    </w:p>
  </w:footnote>
  <w:footnote w:id="36">
    <w:p w:rsidR="006D1DF1" w:rsidRDefault="006D1DF1" w:rsidP="00B877DA">
      <w:pPr>
        <w:pStyle w:val="FootnoteText"/>
        <w:jc w:val="both"/>
        <w:rPr>
          <w:rFonts w:ascii="Times New Roman" w:hAnsi="Times New Roman" w:cs="Times New Roman"/>
        </w:rPr>
      </w:pPr>
      <w:r w:rsidRPr="006D1DF1">
        <w:rPr>
          <w:rStyle w:val="FootnoteReference"/>
          <w:rFonts w:ascii="Times New Roman" w:hAnsi="Times New Roman" w:cs="Times New Roman"/>
        </w:rPr>
        <w:footnoteRef/>
      </w:r>
      <w:r w:rsidRPr="006D1DF1">
        <w:rPr>
          <w:rFonts w:ascii="Times New Roman" w:hAnsi="Times New Roman" w:cs="Times New Roman"/>
        </w:rPr>
        <w:t xml:space="preserve"> </w:t>
      </w:r>
      <w:r>
        <w:rPr>
          <w:rFonts w:ascii="Times New Roman" w:hAnsi="Times New Roman" w:cs="Times New Roman"/>
        </w:rPr>
        <w:t xml:space="preserve">See </w:t>
      </w:r>
      <w:r w:rsidR="00CD6DC9">
        <w:rPr>
          <w:rFonts w:ascii="Times New Roman" w:hAnsi="Times New Roman" w:cs="Times New Roman"/>
          <w:i/>
        </w:rPr>
        <w:t>Bell Canada v. Canadian Telephone Employees Association</w:t>
      </w:r>
      <w:r w:rsidR="00CD6DC9">
        <w:rPr>
          <w:rFonts w:ascii="Times New Roman" w:hAnsi="Times New Roman" w:cs="Times New Roman"/>
        </w:rPr>
        <w:t>, [2003] 1 SCR 884 at paras. 33-38 and 44-50.</w:t>
      </w:r>
    </w:p>
    <w:p w:rsidR="00DD69D8" w:rsidRPr="00CD6DC9" w:rsidRDefault="00DD69D8" w:rsidP="00B877DA">
      <w:pPr>
        <w:pStyle w:val="FootnoteText"/>
        <w:jc w:val="both"/>
        <w:rPr>
          <w:rFonts w:ascii="Times New Roman" w:hAnsi="Times New Roman" w:cs="Times New Roman"/>
        </w:rPr>
      </w:pPr>
    </w:p>
  </w:footnote>
  <w:footnote w:id="37">
    <w:p w:rsidR="009A0150" w:rsidRDefault="00DD69D8" w:rsidP="00B877DA">
      <w:pPr>
        <w:pStyle w:val="FootnoteText"/>
        <w:jc w:val="both"/>
        <w:rPr>
          <w:rFonts w:ascii="Arial" w:hAnsi="Arial" w:cs="Arial"/>
          <w:color w:val="444444"/>
          <w:sz w:val="21"/>
          <w:szCs w:val="21"/>
          <w:shd w:val="clear" w:color="auto" w:fill="FFFFFF"/>
        </w:rPr>
      </w:pPr>
      <w:r w:rsidRPr="00461D37">
        <w:rPr>
          <w:rStyle w:val="FootnoteReference"/>
          <w:rFonts w:ascii="Times New Roman" w:hAnsi="Times New Roman" w:cs="Times New Roman"/>
        </w:rPr>
        <w:footnoteRef/>
      </w:r>
      <w:r w:rsidRPr="00461D37">
        <w:rPr>
          <w:rFonts w:ascii="Times New Roman" w:hAnsi="Times New Roman" w:cs="Times New Roman"/>
        </w:rPr>
        <w:t xml:space="preserve"> </w:t>
      </w:r>
      <w:proofErr w:type="gramStart"/>
      <w:r w:rsidR="00461D37" w:rsidRPr="00461D37">
        <w:rPr>
          <w:rFonts w:ascii="Times New Roman" w:hAnsi="Times New Roman" w:cs="Times New Roman"/>
        </w:rPr>
        <w:t xml:space="preserve">R.S.C. 1985, c. N-7, as amended by the </w:t>
      </w:r>
      <w:r w:rsidR="00461D37" w:rsidRPr="00461D37">
        <w:rPr>
          <w:rFonts w:ascii="Times New Roman" w:hAnsi="Times New Roman" w:cs="Times New Roman"/>
          <w:i/>
          <w:color w:val="444444"/>
          <w:shd w:val="clear" w:color="auto" w:fill="FFFFFF"/>
        </w:rPr>
        <w:t>Jobs, Growth and Long-term Prosperity Act</w:t>
      </w:r>
      <w:r w:rsidR="00461D37" w:rsidRPr="00461D37">
        <w:rPr>
          <w:rFonts w:ascii="Times New Roman" w:hAnsi="Times New Roman" w:cs="Times New Roman"/>
          <w:color w:val="444444"/>
          <w:shd w:val="clear" w:color="auto" w:fill="FFFFFF"/>
        </w:rPr>
        <w:t>, S</w:t>
      </w:r>
      <w:r w:rsidR="00461D37">
        <w:rPr>
          <w:rFonts w:ascii="Times New Roman" w:hAnsi="Times New Roman" w:cs="Times New Roman"/>
          <w:color w:val="444444"/>
          <w:shd w:val="clear" w:color="auto" w:fill="FFFFFF"/>
        </w:rPr>
        <w:t>.</w:t>
      </w:r>
      <w:r w:rsidR="00461D37" w:rsidRPr="00461D37">
        <w:rPr>
          <w:rFonts w:ascii="Times New Roman" w:hAnsi="Times New Roman" w:cs="Times New Roman"/>
          <w:color w:val="444444"/>
          <w:shd w:val="clear" w:color="auto" w:fill="FFFFFF"/>
        </w:rPr>
        <w:t>C</w:t>
      </w:r>
      <w:r w:rsidR="00461D37">
        <w:rPr>
          <w:rFonts w:ascii="Times New Roman" w:hAnsi="Times New Roman" w:cs="Times New Roman"/>
          <w:color w:val="444444"/>
          <w:shd w:val="clear" w:color="auto" w:fill="FFFFFF"/>
        </w:rPr>
        <w:t>.</w:t>
      </w:r>
      <w:r w:rsidR="00461D37" w:rsidRPr="00461D37">
        <w:rPr>
          <w:rFonts w:ascii="Times New Roman" w:hAnsi="Times New Roman" w:cs="Times New Roman"/>
          <w:color w:val="444444"/>
          <w:shd w:val="clear" w:color="auto" w:fill="FFFFFF"/>
        </w:rPr>
        <w:t xml:space="preserve"> 2012, c 19.</w:t>
      </w:r>
      <w:proofErr w:type="gramEnd"/>
      <w:r w:rsidR="00461D37">
        <w:rPr>
          <w:rFonts w:ascii="Arial" w:hAnsi="Arial" w:cs="Arial"/>
          <w:color w:val="444444"/>
          <w:sz w:val="21"/>
          <w:szCs w:val="21"/>
          <w:shd w:val="clear" w:color="auto" w:fill="FFFFFF"/>
        </w:rPr>
        <w:t xml:space="preserve"> </w:t>
      </w:r>
    </w:p>
    <w:p w:rsidR="00072C4F" w:rsidRPr="00EE1970" w:rsidRDefault="00072C4F" w:rsidP="00B877DA">
      <w:pPr>
        <w:pStyle w:val="FootnoteText"/>
        <w:jc w:val="both"/>
        <w:rPr>
          <w:rFonts w:ascii="Times New Roman" w:hAnsi="Times New Roman" w:cs="Times New Roman"/>
        </w:rPr>
      </w:pPr>
    </w:p>
  </w:footnote>
  <w:footnote w:id="38">
    <w:p w:rsidR="00EE1970" w:rsidRPr="00EE1970" w:rsidRDefault="00EE1970" w:rsidP="00B877DA">
      <w:pPr>
        <w:pStyle w:val="FootnoteText"/>
        <w:jc w:val="both"/>
        <w:rPr>
          <w:rFonts w:ascii="Times New Roman" w:hAnsi="Times New Roman" w:cs="Times New Roman"/>
        </w:rPr>
      </w:pPr>
      <w:r w:rsidRPr="00EE1970">
        <w:rPr>
          <w:rStyle w:val="FootnoteReference"/>
          <w:rFonts w:ascii="Times New Roman" w:hAnsi="Times New Roman" w:cs="Times New Roman"/>
        </w:rPr>
        <w:footnoteRef/>
      </w:r>
      <w:r>
        <w:rPr>
          <w:rFonts w:ascii="Times New Roman" w:hAnsi="Times New Roman" w:cs="Times New Roman"/>
        </w:rPr>
        <w:t xml:space="preserve"> See the discussion in Rowland Harrison, “Tribunal Independence: In Quest of a New Model” (2014) 2 </w:t>
      </w:r>
      <w:r>
        <w:rPr>
          <w:rFonts w:ascii="Times New Roman" w:hAnsi="Times New Roman" w:cs="Times New Roman"/>
          <w:i/>
        </w:rPr>
        <w:t>Energy Regulation Quarterly</w:t>
      </w:r>
      <w:r w:rsidR="009A0150">
        <w:rPr>
          <w:rFonts w:ascii="Times New Roman" w:hAnsi="Times New Roman" w:cs="Times New Roman"/>
        </w:rPr>
        <w:t>,</w:t>
      </w:r>
      <w:r>
        <w:rPr>
          <w:rFonts w:ascii="Times New Roman" w:hAnsi="Times New Roman" w:cs="Times New Roman"/>
        </w:rPr>
        <w:t xml:space="preserve"> online at </w:t>
      </w:r>
      <w:r w:rsidRPr="00EE1970">
        <w:rPr>
          <w:rFonts w:ascii="Times New Roman" w:hAnsi="Times New Roman" w:cs="Times New Roman"/>
        </w:rPr>
        <w:t>http://www.energyregulationquarterly.ca/articles/tribunal-independence-in-quest-of-a-new-model#sthash.nKclcF3P.dpbs</w:t>
      </w:r>
      <w:r>
        <w:rPr>
          <w:rFonts w:ascii="Times New Roman" w:hAnsi="Times New Roman" w:cs="Times New Roman"/>
        </w:rPr>
        <w:t>.</w:t>
      </w:r>
      <w:r w:rsidRPr="00EE1970">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70" w:rsidRDefault="00174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223"/>
    <w:multiLevelType w:val="hybridMultilevel"/>
    <w:tmpl w:val="C19C0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236C74"/>
    <w:multiLevelType w:val="hybridMultilevel"/>
    <w:tmpl w:val="6DEC9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4A6546"/>
    <w:multiLevelType w:val="hybridMultilevel"/>
    <w:tmpl w:val="1E841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C3E7556"/>
    <w:multiLevelType w:val="hybridMultilevel"/>
    <w:tmpl w:val="F2925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CD578C4"/>
    <w:multiLevelType w:val="hybridMultilevel"/>
    <w:tmpl w:val="1748923E"/>
    <w:lvl w:ilvl="0" w:tplc="36EC8A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BF"/>
    <w:rsid w:val="00027AC3"/>
    <w:rsid w:val="00041182"/>
    <w:rsid w:val="00072C4F"/>
    <w:rsid w:val="00077F07"/>
    <w:rsid w:val="00091A0B"/>
    <w:rsid w:val="000A72EF"/>
    <w:rsid w:val="000E21EB"/>
    <w:rsid w:val="00105DC7"/>
    <w:rsid w:val="00135511"/>
    <w:rsid w:val="00144B01"/>
    <w:rsid w:val="001509D3"/>
    <w:rsid w:val="00162185"/>
    <w:rsid w:val="001729F1"/>
    <w:rsid w:val="00174E70"/>
    <w:rsid w:val="001A13BD"/>
    <w:rsid w:val="001A568D"/>
    <w:rsid w:val="001C08E6"/>
    <w:rsid w:val="001D4B5C"/>
    <w:rsid w:val="002026B5"/>
    <w:rsid w:val="00234796"/>
    <w:rsid w:val="002352DD"/>
    <w:rsid w:val="00240E06"/>
    <w:rsid w:val="00254182"/>
    <w:rsid w:val="00255797"/>
    <w:rsid w:val="00267CAE"/>
    <w:rsid w:val="002720AE"/>
    <w:rsid w:val="00272633"/>
    <w:rsid w:val="002822FB"/>
    <w:rsid w:val="002A7CF8"/>
    <w:rsid w:val="002B3461"/>
    <w:rsid w:val="002C272F"/>
    <w:rsid w:val="002C5920"/>
    <w:rsid w:val="002D3EA9"/>
    <w:rsid w:val="002E6D56"/>
    <w:rsid w:val="002F2B52"/>
    <w:rsid w:val="003031D4"/>
    <w:rsid w:val="003172F8"/>
    <w:rsid w:val="00317A4A"/>
    <w:rsid w:val="003238BF"/>
    <w:rsid w:val="00327D2A"/>
    <w:rsid w:val="00330693"/>
    <w:rsid w:val="00346835"/>
    <w:rsid w:val="00374158"/>
    <w:rsid w:val="00392852"/>
    <w:rsid w:val="003943A4"/>
    <w:rsid w:val="00394A35"/>
    <w:rsid w:val="003C4A72"/>
    <w:rsid w:val="003D6C57"/>
    <w:rsid w:val="003E4F39"/>
    <w:rsid w:val="003E5EB0"/>
    <w:rsid w:val="003E6413"/>
    <w:rsid w:val="00405F96"/>
    <w:rsid w:val="0041417B"/>
    <w:rsid w:val="00415736"/>
    <w:rsid w:val="00432D97"/>
    <w:rsid w:val="00460501"/>
    <w:rsid w:val="00461D37"/>
    <w:rsid w:val="004650DD"/>
    <w:rsid w:val="00473355"/>
    <w:rsid w:val="00493B83"/>
    <w:rsid w:val="004B3D34"/>
    <w:rsid w:val="004C6C86"/>
    <w:rsid w:val="004D0489"/>
    <w:rsid w:val="004F28FC"/>
    <w:rsid w:val="004F45F3"/>
    <w:rsid w:val="00512A15"/>
    <w:rsid w:val="00514B01"/>
    <w:rsid w:val="00536CDF"/>
    <w:rsid w:val="00541D97"/>
    <w:rsid w:val="00542C13"/>
    <w:rsid w:val="0055377D"/>
    <w:rsid w:val="005A622D"/>
    <w:rsid w:val="005D465F"/>
    <w:rsid w:val="005F319C"/>
    <w:rsid w:val="00606577"/>
    <w:rsid w:val="00631C6D"/>
    <w:rsid w:val="00640AAC"/>
    <w:rsid w:val="00651719"/>
    <w:rsid w:val="00681E86"/>
    <w:rsid w:val="0069543A"/>
    <w:rsid w:val="00695FF8"/>
    <w:rsid w:val="006B4EFD"/>
    <w:rsid w:val="006D1DF1"/>
    <w:rsid w:val="0070258F"/>
    <w:rsid w:val="00723A6F"/>
    <w:rsid w:val="0072773B"/>
    <w:rsid w:val="00743015"/>
    <w:rsid w:val="00755708"/>
    <w:rsid w:val="00761484"/>
    <w:rsid w:val="00790958"/>
    <w:rsid w:val="007A1FAB"/>
    <w:rsid w:val="007F719A"/>
    <w:rsid w:val="008006CA"/>
    <w:rsid w:val="008078CD"/>
    <w:rsid w:val="0081030D"/>
    <w:rsid w:val="00815777"/>
    <w:rsid w:val="0083169B"/>
    <w:rsid w:val="00841019"/>
    <w:rsid w:val="008556E2"/>
    <w:rsid w:val="00890002"/>
    <w:rsid w:val="008A1EA1"/>
    <w:rsid w:val="008B2E84"/>
    <w:rsid w:val="008B364A"/>
    <w:rsid w:val="008C4A59"/>
    <w:rsid w:val="008C5EEF"/>
    <w:rsid w:val="008E0040"/>
    <w:rsid w:val="008F0121"/>
    <w:rsid w:val="00912CD5"/>
    <w:rsid w:val="00915710"/>
    <w:rsid w:val="00927208"/>
    <w:rsid w:val="00937A68"/>
    <w:rsid w:val="009670D4"/>
    <w:rsid w:val="00975927"/>
    <w:rsid w:val="009900E6"/>
    <w:rsid w:val="00994647"/>
    <w:rsid w:val="00994E2B"/>
    <w:rsid w:val="009A0150"/>
    <w:rsid w:val="009A7CC1"/>
    <w:rsid w:val="009B6EC7"/>
    <w:rsid w:val="009C3264"/>
    <w:rsid w:val="009E64F8"/>
    <w:rsid w:val="00A139A8"/>
    <w:rsid w:val="00A32522"/>
    <w:rsid w:val="00A417F6"/>
    <w:rsid w:val="00A45DA0"/>
    <w:rsid w:val="00A46461"/>
    <w:rsid w:val="00A53A5F"/>
    <w:rsid w:val="00A63A59"/>
    <w:rsid w:val="00A73025"/>
    <w:rsid w:val="00A75BFF"/>
    <w:rsid w:val="00A91EA7"/>
    <w:rsid w:val="00AB2513"/>
    <w:rsid w:val="00AC2C73"/>
    <w:rsid w:val="00AC3FE8"/>
    <w:rsid w:val="00AE1B6E"/>
    <w:rsid w:val="00B002D6"/>
    <w:rsid w:val="00B0137A"/>
    <w:rsid w:val="00B14719"/>
    <w:rsid w:val="00B15FC0"/>
    <w:rsid w:val="00B16495"/>
    <w:rsid w:val="00B429B3"/>
    <w:rsid w:val="00B52DF2"/>
    <w:rsid w:val="00B679CE"/>
    <w:rsid w:val="00B74E57"/>
    <w:rsid w:val="00B877DA"/>
    <w:rsid w:val="00BA60E6"/>
    <w:rsid w:val="00BC7B0C"/>
    <w:rsid w:val="00BC7C70"/>
    <w:rsid w:val="00BE6281"/>
    <w:rsid w:val="00BF436E"/>
    <w:rsid w:val="00C0565F"/>
    <w:rsid w:val="00C305A6"/>
    <w:rsid w:val="00C5060B"/>
    <w:rsid w:val="00CA089D"/>
    <w:rsid w:val="00CA514B"/>
    <w:rsid w:val="00CA7850"/>
    <w:rsid w:val="00CD6DC9"/>
    <w:rsid w:val="00CE4200"/>
    <w:rsid w:val="00CF0261"/>
    <w:rsid w:val="00CF15AA"/>
    <w:rsid w:val="00CF1A63"/>
    <w:rsid w:val="00D10A24"/>
    <w:rsid w:val="00D326D7"/>
    <w:rsid w:val="00D349BE"/>
    <w:rsid w:val="00D703CB"/>
    <w:rsid w:val="00D975CC"/>
    <w:rsid w:val="00DB2CF4"/>
    <w:rsid w:val="00DB6F5E"/>
    <w:rsid w:val="00DC041B"/>
    <w:rsid w:val="00DD69D8"/>
    <w:rsid w:val="00E10D96"/>
    <w:rsid w:val="00E252E6"/>
    <w:rsid w:val="00E35B17"/>
    <w:rsid w:val="00E6146E"/>
    <w:rsid w:val="00E7057C"/>
    <w:rsid w:val="00E70A69"/>
    <w:rsid w:val="00E93C8C"/>
    <w:rsid w:val="00E94531"/>
    <w:rsid w:val="00ED4B38"/>
    <w:rsid w:val="00EE1970"/>
    <w:rsid w:val="00F06547"/>
    <w:rsid w:val="00F06E51"/>
    <w:rsid w:val="00F22645"/>
    <w:rsid w:val="00F40724"/>
    <w:rsid w:val="00F43FA2"/>
    <w:rsid w:val="00F5667E"/>
    <w:rsid w:val="00F851BD"/>
    <w:rsid w:val="00F93520"/>
    <w:rsid w:val="00FD1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6C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5E"/>
    <w:pPr>
      <w:ind w:left="720"/>
      <w:contextualSpacing/>
    </w:pPr>
  </w:style>
  <w:style w:type="paragraph" w:styleId="Header">
    <w:name w:val="header"/>
    <w:basedOn w:val="Normal"/>
    <w:link w:val="HeaderChar"/>
    <w:uiPriority w:val="99"/>
    <w:unhideWhenUsed/>
    <w:rsid w:val="00695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3A"/>
  </w:style>
  <w:style w:type="paragraph" w:styleId="Footer">
    <w:name w:val="footer"/>
    <w:basedOn w:val="Normal"/>
    <w:link w:val="FooterChar"/>
    <w:uiPriority w:val="99"/>
    <w:unhideWhenUsed/>
    <w:rsid w:val="00695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43A"/>
  </w:style>
  <w:style w:type="paragraph" w:styleId="BalloonText">
    <w:name w:val="Balloon Text"/>
    <w:basedOn w:val="Normal"/>
    <w:link w:val="BalloonTextChar"/>
    <w:uiPriority w:val="99"/>
    <w:semiHidden/>
    <w:unhideWhenUsed/>
    <w:rsid w:val="0017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70"/>
    <w:rPr>
      <w:rFonts w:ascii="Tahoma" w:hAnsi="Tahoma" w:cs="Tahoma"/>
      <w:sz w:val="16"/>
      <w:szCs w:val="16"/>
    </w:rPr>
  </w:style>
  <w:style w:type="paragraph" w:styleId="FootnoteText">
    <w:name w:val="footnote text"/>
    <w:basedOn w:val="Normal"/>
    <w:link w:val="FootnoteTextChar"/>
    <w:uiPriority w:val="99"/>
    <w:semiHidden/>
    <w:unhideWhenUsed/>
    <w:rsid w:val="00162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185"/>
    <w:rPr>
      <w:sz w:val="20"/>
      <w:szCs w:val="20"/>
    </w:rPr>
  </w:style>
  <w:style w:type="character" w:styleId="FootnoteReference">
    <w:name w:val="footnote reference"/>
    <w:basedOn w:val="DefaultParagraphFont"/>
    <w:uiPriority w:val="99"/>
    <w:semiHidden/>
    <w:unhideWhenUsed/>
    <w:rsid w:val="00162185"/>
    <w:rPr>
      <w:vertAlign w:val="superscript"/>
    </w:rPr>
  </w:style>
  <w:style w:type="character" w:styleId="Hyperlink">
    <w:name w:val="Hyperlink"/>
    <w:basedOn w:val="DefaultParagraphFont"/>
    <w:uiPriority w:val="99"/>
    <w:unhideWhenUsed/>
    <w:rsid w:val="00162185"/>
    <w:rPr>
      <w:color w:val="0000FF" w:themeColor="hyperlink"/>
      <w:u w:val="single"/>
    </w:rPr>
  </w:style>
  <w:style w:type="character" w:customStyle="1" w:styleId="Heading1Char">
    <w:name w:val="Heading 1 Char"/>
    <w:basedOn w:val="DefaultParagraphFont"/>
    <w:link w:val="Heading1"/>
    <w:uiPriority w:val="9"/>
    <w:rsid w:val="008006CA"/>
    <w:rPr>
      <w:rFonts w:asciiTheme="majorHAnsi" w:eastAsiaTheme="majorEastAsia" w:hAnsiTheme="majorHAnsi" w:cstheme="majorBidi"/>
      <w:b/>
      <w:bCs/>
      <w:color w:val="345A8A" w:themeColor="accent1" w:themeShade="B5"/>
      <w:sz w:val="32"/>
      <w:szCs w:val="3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6C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5E"/>
    <w:pPr>
      <w:ind w:left="720"/>
      <w:contextualSpacing/>
    </w:pPr>
  </w:style>
  <w:style w:type="paragraph" w:styleId="Header">
    <w:name w:val="header"/>
    <w:basedOn w:val="Normal"/>
    <w:link w:val="HeaderChar"/>
    <w:uiPriority w:val="99"/>
    <w:unhideWhenUsed/>
    <w:rsid w:val="00695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3A"/>
  </w:style>
  <w:style w:type="paragraph" w:styleId="Footer">
    <w:name w:val="footer"/>
    <w:basedOn w:val="Normal"/>
    <w:link w:val="FooterChar"/>
    <w:uiPriority w:val="99"/>
    <w:unhideWhenUsed/>
    <w:rsid w:val="00695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43A"/>
  </w:style>
  <w:style w:type="paragraph" w:styleId="BalloonText">
    <w:name w:val="Balloon Text"/>
    <w:basedOn w:val="Normal"/>
    <w:link w:val="BalloonTextChar"/>
    <w:uiPriority w:val="99"/>
    <w:semiHidden/>
    <w:unhideWhenUsed/>
    <w:rsid w:val="0017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70"/>
    <w:rPr>
      <w:rFonts w:ascii="Tahoma" w:hAnsi="Tahoma" w:cs="Tahoma"/>
      <w:sz w:val="16"/>
      <w:szCs w:val="16"/>
    </w:rPr>
  </w:style>
  <w:style w:type="paragraph" w:styleId="FootnoteText">
    <w:name w:val="footnote text"/>
    <w:basedOn w:val="Normal"/>
    <w:link w:val="FootnoteTextChar"/>
    <w:uiPriority w:val="99"/>
    <w:semiHidden/>
    <w:unhideWhenUsed/>
    <w:rsid w:val="00162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185"/>
    <w:rPr>
      <w:sz w:val="20"/>
      <w:szCs w:val="20"/>
    </w:rPr>
  </w:style>
  <w:style w:type="character" w:styleId="FootnoteReference">
    <w:name w:val="footnote reference"/>
    <w:basedOn w:val="DefaultParagraphFont"/>
    <w:uiPriority w:val="99"/>
    <w:semiHidden/>
    <w:unhideWhenUsed/>
    <w:rsid w:val="00162185"/>
    <w:rPr>
      <w:vertAlign w:val="superscript"/>
    </w:rPr>
  </w:style>
  <w:style w:type="character" w:styleId="Hyperlink">
    <w:name w:val="Hyperlink"/>
    <w:basedOn w:val="DefaultParagraphFont"/>
    <w:uiPriority w:val="99"/>
    <w:unhideWhenUsed/>
    <w:rsid w:val="00162185"/>
    <w:rPr>
      <w:color w:val="0000FF" w:themeColor="hyperlink"/>
      <w:u w:val="single"/>
    </w:rPr>
  </w:style>
  <w:style w:type="character" w:customStyle="1" w:styleId="Heading1Char">
    <w:name w:val="Heading 1 Char"/>
    <w:basedOn w:val="DefaultParagraphFont"/>
    <w:link w:val="Heading1"/>
    <w:uiPriority w:val="9"/>
    <w:rsid w:val="008006CA"/>
    <w:rPr>
      <w:rFonts w:asciiTheme="majorHAnsi" w:eastAsiaTheme="majorEastAsia" w:hAnsiTheme="majorHAnsi" w:cstheme="majorBidi"/>
      <w:b/>
      <w:bCs/>
      <w:color w:val="345A8A" w:themeColor="accent1" w:themeShade="B5"/>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lberta.ca/albertacode/images/ags-2008-02-Public-Agencies-Governance-Framework.pdf" TargetMode="External"/><Relationship Id="rId2" Type="http://schemas.openxmlformats.org/officeDocument/2006/relationships/hyperlink" Target="http://www.novascotia.ca/exec_council/abc/adjudicative-advisory-committees.asp" TargetMode="External"/><Relationship Id="rId1" Type="http://schemas.openxmlformats.org/officeDocument/2006/relationships/hyperlink" Target="http://www.coat.gov.au/images/downloads/tas/Tribunal%20Indepen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7388-7D29-41AD-B040-6091C714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6468</Words>
  <Characters>36872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Bryden</dc:creator>
  <cp:lastModifiedBy>Philip Bryden</cp:lastModifiedBy>
  <cp:revision>10</cp:revision>
  <cp:lastPrinted>2015-04-16T07:19:00Z</cp:lastPrinted>
  <dcterms:created xsi:type="dcterms:W3CDTF">2015-04-21T00:53:00Z</dcterms:created>
  <dcterms:modified xsi:type="dcterms:W3CDTF">2015-04-21T02:46:00Z</dcterms:modified>
</cp:coreProperties>
</file>