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07DA7" w14:textId="77777777" w:rsidR="000B4C4C" w:rsidRPr="0062568B" w:rsidRDefault="000B4C4C" w:rsidP="000B4C4C">
      <w:pPr>
        <w:pStyle w:val="BodyText"/>
        <w:ind w:left="4054"/>
        <w:rPr>
          <w:rFonts w:ascii="Times New Roman"/>
          <w:b w:val="0"/>
          <w:sz w:val="20"/>
          <w:lang w:val="en-NZ"/>
        </w:rPr>
      </w:pPr>
      <w:r w:rsidRPr="0062568B">
        <w:rPr>
          <w:rFonts w:ascii="Times New Roman"/>
          <w:b w:val="0"/>
          <w:noProof/>
          <w:sz w:val="20"/>
          <w:lang w:val="en-NZ"/>
        </w:rPr>
        <w:drawing>
          <wp:inline distT="0" distB="0" distL="0" distR="0" wp14:anchorId="1A2235AA" wp14:editId="2D717115">
            <wp:extent cx="690088" cy="653796"/>
            <wp:effectExtent l="0" t="0" r="0" b="0"/>
            <wp:docPr id="2" name="Image 2">
              <a:extLst xmlns:a="http://schemas.openxmlformats.org/drawingml/2006/main">
                <a:ext uri="{FF2B5EF4-FFF2-40B4-BE49-F238E27FC236}">
                  <a16:creationId xmlns:a16="http://schemas.microsoft.com/office/drawing/2014/main" id="{B2ABD9E5-ECB7-46E4-9DE9-8858665B2BE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90088" cy="653796"/>
                    </a:xfrm>
                    <a:prstGeom prst="rect">
                      <a:avLst/>
                    </a:prstGeom>
                  </pic:spPr>
                </pic:pic>
              </a:graphicData>
            </a:graphic>
          </wp:inline>
        </w:drawing>
      </w:r>
    </w:p>
    <w:p w14:paraId="5FE1514C" w14:textId="77777777" w:rsidR="000B4C4C" w:rsidRPr="0062568B" w:rsidRDefault="000B4C4C" w:rsidP="000B4C4C">
      <w:pPr>
        <w:pStyle w:val="BodyText"/>
        <w:rPr>
          <w:rFonts w:ascii="Times New Roman"/>
          <w:b w:val="0"/>
          <w:lang w:val="en-NZ"/>
        </w:rPr>
      </w:pPr>
    </w:p>
    <w:p w14:paraId="057D45C3" w14:textId="77777777" w:rsidR="000B4C4C" w:rsidRPr="0062568B" w:rsidRDefault="000B4C4C" w:rsidP="000B4C4C">
      <w:pPr>
        <w:pStyle w:val="BodyText"/>
        <w:spacing w:before="120"/>
        <w:ind w:left="-142" w:right="17"/>
        <w:jc w:val="center"/>
        <w:rPr>
          <w:lang w:val="en-NZ"/>
        </w:rPr>
      </w:pPr>
      <w:r w:rsidRPr="0062568B">
        <w:rPr>
          <w:lang w:val="en-NZ"/>
        </w:rPr>
        <w:t xml:space="preserve">Firearms Licensing Review Committee </w:t>
      </w:r>
      <w:r>
        <w:rPr>
          <w:lang w:val="en-NZ"/>
        </w:rPr>
        <w:t xml:space="preserve">Chair and </w:t>
      </w:r>
      <w:r w:rsidRPr="0062568B">
        <w:rPr>
          <w:lang w:val="en-NZ"/>
        </w:rPr>
        <w:t>Members</w:t>
      </w:r>
    </w:p>
    <w:p w14:paraId="1F954293" w14:textId="77777777" w:rsidR="000B4C4C" w:rsidRPr="0062568B" w:rsidRDefault="000B4C4C" w:rsidP="000B4C4C">
      <w:pPr>
        <w:pStyle w:val="BodyText"/>
        <w:spacing w:before="120" w:after="120"/>
        <w:ind w:left="-142" w:right="17"/>
        <w:jc w:val="center"/>
        <w:rPr>
          <w:lang w:val="en-NZ"/>
        </w:rPr>
      </w:pPr>
      <w:r>
        <w:rPr>
          <w:lang w:val="en-NZ"/>
        </w:rPr>
        <w:t>Scope and Requirements</w:t>
      </w:r>
    </w:p>
    <w:p w14:paraId="5E6C1E34" w14:textId="77777777" w:rsidR="000B4C4C" w:rsidRPr="0062568B" w:rsidRDefault="000B4C4C" w:rsidP="000B4C4C">
      <w:pPr>
        <w:spacing w:before="179" w:after="1"/>
        <w:rPr>
          <w:sz w:val="20"/>
          <w:lang w:val="en-NZ"/>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3"/>
      </w:tblGrid>
      <w:tr w:rsidR="000B4C4C" w:rsidRPr="0062568B" w14:paraId="02B1EA08" w14:textId="77777777" w:rsidTr="0F91F30C">
        <w:trPr>
          <w:trHeight w:val="1000"/>
        </w:trPr>
        <w:tc>
          <w:tcPr>
            <w:tcW w:w="2127" w:type="dxa"/>
          </w:tcPr>
          <w:p w14:paraId="74CFA8A0" w14:textId="77777777" w:rsidR="000B4C4C" w:rsidRPr="0062568B" w:rsidRDefault="000B4C4C" w:rsidP="0043225C">
            <w:pPr>
              <w:pStyle w:val="TableParagraph"/>
              <w:rPr>
                <w:b/>
                <w:lang w:val="en-NZ"/>
              </w:rPr>
            </w:pPr>
            <w:r>
              <w:rPr>
                <w:b/>
                <w:spacing w:val="-2"/>
                <w:lang w:val="en-NZ"/>
              </w:rPr>
              <w:t>Scope</w:t>
            </w:r>
          </w:p>
        </w:tc>
        <w:tc>
          <w:tcPr>
            <w:tcW w:w="7513" w:type="dxa"/>
          </w:tcPr>
          <w:p w14:paraId="5D84E601" w14:textId="1F826282" w:rsidR="000B4C4C" w:rsidRPr="0062568B" w:rsidRDefault="000B4C4C" w:rsidP="0043225C">
            <w:pPr>
              <w:pStyle w:val="TableParagraph"/>
              <w:spacing w:after="120" w:line="276" w:lineRule="auto"/>
              <w:ind w:right="178"/>
              <w:jc w:val="both"/>
              <w:rPr>
                <w:lang w:val="en-NZ"/>
              </w:rPr>
            </w:pPr>
            <w:r w:rsidRPr="0062568B">
              <w:rPr>
                <w:lang w:val="en-NZ"/>
              </w:rPr>
              <w:t xml:space="preserve">The Firearms Licensing Review Committee (the Review Committee) is </w:t>
            </w:r>
            <w:r>
              <w:rPr>
                <w:lang w:val="en-NZ"/>
              </w:rPr>
              <w:t xml:space="preserve">to be </w:t>
            </w:r>
            <w:r w:rsidRPr="0062568B">
              <w:rPr>
                <w:lang w:val="en-NZ"/>
              </w:rPr>
              <w:t xml:space="preserve">established under the Arms Bill.  </w:t>
            </w:r>
          </w:p>
          <w:p w14:paraId="4E789326" w14:textId="77777777" w:rsidR="000B4C4C" w:rsidRPr="0062568B" w:rsidRDefault="000B4C4C" w:rsidP="0043225C">
            <w:pPr>
              <w:pStyle w:val="TableParagraph"/>
              <w:spacing w:after="120" w:line="276" w:lineRule="auto"/>
              <w:ind w:left="108" w:right="176"/>
              <w:jc w:val="both"/>
              <w:rPr>
                <w:lang w:val="en-NZ"/>
              </w:rPr>
            </w:pPr>
            <w:r w:rsidRPr="0062568B">
              <w:rPr>
                <w:lang w:val="en-NZ"/>
              </w:rPr>
              <w:t>The purpose is to serve as an independent body for reviewing decisions made</w:t>
            </w:r>
            <w:r>
              <w:rPr>
                <w:lang w:val="en-NZ"/>
              </w:rPr>
              <w:t xml:space="preserve"> </w:t>
            </w:r>
            <w:r w:rsidRPr="0062568B">
              <w:rPr>
                <w:lang w:val="en-NZ"/>
              </w:rPr>
              <w:t>by Firearms Safety and Education New Zealand relating to the granting and revocation of firearms licen</w:t>
            </w:r>
            <w:r>
              <w:rPr>
                <w:lang w:val="en-NZ"/>
              </w:rPr>
              <w:t>c</w:t>
            </w:r>
            <w:r w:rsidRPr="0062568B">
              <w:rPr>
                <w:lang w:val="en-NZ"/>
              </w:rPr>
              <w:t>es.</w:t>
            </w:r>
          </w:p>
        </w:tc>
      </w:tr>
      <w:tr w:rsidR="000B4C4C" w:rsidRPr="0062568B" w14:paraId="3D90F70C" w14:textId="77777777" w:rsidTr="0F91F30C">
        <w:trPr>
          <w:trHeight w:val="479"/>
        </w:trPr>
        <w:tc>
          <w:tcPr>
            <w:tcW w:w="2127" w:type="dxa"/>
          </w:tcPr>
          <w:p w14:paraId="7E6BE47B" w14:textId="77777777" w:rsidR="000B4C4C" w:rsidRPr="0062568B" w:rsidRDefault="000B4C4C" w:rsidP="0043225C">
            <w:pPr>
              <w:pStyle w:val="TableParagraph"/>
              <w:rPr>
                <w:b/>
                <w:lang w:val="en-NZ"/>
              </w:rPr>
            </w:pPr>
            <w:r w:rsidRPr="0062568B">
              <w:rPr>
                <w:b/>
                <w:spacing w:val="-2"/>
                <w:lang w:val="en-NZ"/>
              </w:rPr>
              <w:t>Membership</w:t>
            </w:r>
          </w:p>
        </w:tc>
        <w:tc>
          <w:tcPr>
            <w:tcW w:w="7513" w:type="dxa"/>
          </w:tcPr>
          <w:p w14:paraId="349D2330" w14:textId="4F4225ED" w:rsidR="00885377" w:rsidRDefault="00DE6483" w:rsidP="0043225C">
            <w:pPr>
              <w:pStyle w:val="TableParagraph"/>
              <w:spacing w:line="276" w:lineRule="auto"/>
              <w:ind w:right="178"/>
              <w:jc w:val="both"/>
              <w:rPr>
                <w:lang w:val="en-NZ"/>
              </w:rPr>
            </w:pPr>
            <w:r>
              <w:rPr>
                <w:lang w:val="en-NZ"/>
              </w:rPr>
              <w:t xml:space="preserve">We </w:t>
            </w:r>
            <w:r w:rsidR="00076EBC">
              <w:rPr>
                <w:lang w:val="en-NZ"/>
              </w:rPr>
              <w:t xml:space="preserve">are </w:t>
            </w:r>
            <w:r w:rsidR="00803BEE">
              <w:rPr>
                <w:lang w:val="en-NZ"/>
              </w:rPr>
              <w:t xml:space="preserve">seeking </w:t>
            </w:r>
            <w:r w:rsidR="00076EBC">
              <w:rPr>
                <w:lang w:val="en-NZ"/>
              </w:rPr>
              <w:t xml:space="preserve">expressions of interest from applicants </w:t>
            </w:r>
            <w:r>
              <w:rPr>
                <w:lang w:val="en-NZ"/>
              </w:rPr>
              <w:t>that</w:t>
            </w:r>
            <w:r w:rsidR="00536FB8">
              <w:rPr>
                <w:lang w:val="en-NZ"/>
              </w:rPr>
              <w:t xml:space="preserve"> can demonstrate </w:t>
            </w:r>
            <w:r w:rsidR="000B4C4C" w:rsidRPr="00FA3ADE">
              <w:rPr>
                <w:lang w:val="en-NZ"/>
              </w:rPr>
              <w:t>knowledge and experience in</w:t>
            </w:r>
            <w:r w:rsidR="00885377">
              <w:rPr>
                <w:lang w:val="en-NZ"/>
              </w:rPr>
              <w:t>:</w:t>
            </w:r>
          </w:p>
          <w:p w14:paraId="3CF8B335" w14:textId="28AE7D69" w:rsidR="00167B1B" w:rsidRDefault="00F53E78" w:rsidP="00F53E78">
            <w:pPr>
              <w:pStyle w:val="TableParagraph"/>
              <w:numPr>
                <w:ilvl w:val="0"/>
                <w:numId w:val="1"/>
              </w:numPr>
              <w:tabs>
                <w:tab w:val="left" w:pos="464"/>
              </w:tabs>
              <w:spacing w:after="120" w:line="276" w:lineRule="auto"/>
              <w:ind w:left="465" w:right="119" w:hanging="357"/>
              <w:jc w:val="both"/>
              <w:rPr>
                <w:lang w:val="en-NZ"/>
              </w:rPr>
            </w:pPr>
            <w:r>
              <w:rPr>
                <w:lang w:val="en-NZ"/>
              </w:rPr>
              <w:t>t</w:t>
            </w:r>
            <w:r w:rsidR="00167B1B">
              <w:rPr>
                <w:lang w:val="en-NZ"/>
              </w:rPr>
              <w:t>he law</w:t>
            </w:r>
            <w:r>
              <w:rPr>
                <w:lang w:val="en-NZ"/>
              </w:rPr>
              <w:t>,</w:t>
            </w:r>
            <w:r w:rsidR="00167B1B">
              <w:rPr>
                <w:lang w:val="en-NZ"/>
              </w:rPr>
              <w:t xml:space="preserve"> and working with legislation and legal </w:t>
            </w:r>
            <w:proofErr w:type="gramStart"/>
            <w:r>
              <w:rPr>
                <w:lang w:val="en-NZ"/>
              </w:rPr>
              <w:t>frameworks;</w:t>
            </w:r>
            <w:proofErr w:type="gramEnd"/>
            <w:r>
              <w:rPr>
                <w:lang w:val="en-NZ"/>
              </w:rPr>
              <w:t xml:space="preserve"> </w:t>
            </w:r>
          </w:p>
          <w:p w14:paraId="5340286C" w14:textId="77777777" w:rsidR="00723FD9" w:rsidRDefault="00885377" w:rsidP="00F53E78">
            <w:pPr>
              <w:pStyle w:val="TableParagraph"/>
              <w:numPr>
                <w:ilvl w:val="0"/>
                <w:numId w:val="1"/>
              </w:numPr>
              <w:tabs>
                <w:tab w:val="left" w:pos="464"/>
              </w:tabs>
              <w:spacing w:after="120" w:line="276" w:lineRule="auto"/>
              <w:ind w:left="465" w:right="119" w:hanging="357"/>
              <w:jc w:val="both"/>
              <w:rPr>
                <w:lang w:val="en-NZ"/>
              </w:rPr>
            </w:pPr>
            <w:r>
              <w:rPr>
                <w:lang w:val="en-NZ"/>
              </w:rPr>
              <w:t xml:space="preserve">the use of firearms and firearms </w:t>
            </w:r>
            <w:proofErr w:type="gramStart"/>
            <w:r>
              <w:rPr>
                <w:lang w:val="en-NZ"/>
              </w:rPr>
              <w:t>safety;</w:t>
            </w:r>
            <w:proofErr w:type="gramEnd"/>
          </w:p>
          <w:p w14:paraId="5474A2FF" w14:textId="77777777" w:rsidR="000B4C4C" w:rsidRDefault="000B4C4C" w:rsidP="00723FD9">
            <w:pPr>
              <w:pStyle w:val="TableParagraph"/>
              <w:numPr>
                <w:ilvl w:val="0"/>
                <w:numId w:val="1"/>
              </w:numPr>
              <w:tabs>
                <w:tab w:val="left" w:pos="464"/>
              </w:tabs>
              <w:spacing w:after="120" w:line="276" w:lineRule="auto"/>
              <w:ind w:left="465" w:right="119" w:hanging="357"/>
              <w:jc w:val="both"/>
              <w:rPr>
                <w:lang w:val="en-NZ"/>
              </w:rPr>
            </w:pPr>
            <w:r w:rsidRPr="00304F90">
              <w:rPr>
                <w:lang w:val="en-NZ"/>
              </w:rPr>
              <w:t>regulatory systems, decision making roles, community organisations</w:t>
            </w:r>
            <w:r>
              <w:rPr>
                <w:lang w:val="en-NZ"/>
              </w:rPr>
              <w:t xml:space="preserve"> or public safety and have firearms knowledge</w:t>
            </w:r>
            <w:r w:rsidRPr="00304F90">
              <w:rPr>
                <w:lang w:val="en-NZ"/>
              </w:rPr>
              <w:t xml:space="preserve">. </w:t>
            </w:r>
          </w:p>
          <w:p w14:paraId="02381BD9" w14:textId="34CF38BE" w:rsidR="00076EBC" w:rsidRPr="007B248D" w:rsidRDefault="00076EBC" w:rsidP="00076EBC">
            <w:pPr>
              <w:pStyle w:val="TableParagraph"/>
              <w:spacing w:line="276" w:lineRule="auto"/>
              <w:ind w:right="178"/>
              <w:jc w:val="both"/>
              <w:rPr>
                <w:lang w:val="en-NZ"/>
              </w:rPr>
            </w:pPr>
            <w:r>
              <w:rPr>
                <w:lang w:val="en-NZ"/>
              </w:rPr>
              <w:t xml:space="preserve">The Responsible Minister will appoint Committee members under the </w:t>
            </w:r>
            <w:r w:rsidRPr="007B248D">
              <w:rPr>
                <w:lang w:val="en-NZ"/>
              </w:rPr>
              <w:t>Arms Bill</w:t>
            </w:r>
            <w:r>
              <w:rPr>
                <w:lang w:val="en-NZ"/>
              </w:rPr>
              <w:t xml:space="preserve">. </w:t>
            </w:r>
          </w:p>
        </w:tc>
      </w:tr>
      <w:tr w:rsidR="000B4C4C" w:rsidRPr="0062568B" w14:paraId="49979484" w14:textId="77777777" w:rsidTr="0F91F30C">
        <w:trPr>
          <w:trHeight w:val="479"/>
        </w:trPr>
        <w:tc>
          <w:tcPr>
            <w:tcW w:w="2127" w:type="dxa"/>
          </w:tcPr>
          <w:p w14:paraId="7D626F6F" w14:textId="77777777" w:rsidR="000B4C4C" w:rsidRPr="0062568B" w:rsidRDefault="000B4C4C" w:rsidP="0043225C">
            <w:pPr>
              <w:pStyle w:val="TableParagraph"/>
              <w:rPr>
                <w:b/>
                <w:lang w:val="en-NZ"/>
              </w:rPr>
            </w:pPr>
            <w:r w:rsidRPr="0062568B">
              <w:rPr>
                <w:b/>
                <w:lang w:val="en-NZ"/>
              </w:rPr>
              <w:t>Appointed</w:t>
            </w:r>
            <w:r w:rsidRPr="0062568B">
              <w:rPr>
                <w:b/>
                <w:spacing w:val="-7"/>
                <w:lang w:val="en-NZ"/>
              </w:rPr>
              <w:t xml:space="preserve"> </w:t>
            </w:r>
            <w:r w:rsidRPr="0062568B">
              <w:rPr>
                <w:b/>
                <w:spacing w:val="-5"/>
                <w:lang w:val="en-NZ"/>
              </w:rPr>
              <w:t>by</w:t>
            </w:r>
          </w:p>
        </w:tc>
        <w:tc>
          <w:tcPr>
            <w:tcW w:w="7513" w:type="dxa"/>
          </w:tcPr>
          <w:p w14:paraId="4459F1A1" w14:textId="18081846" w:rsidR="000B4C4C" w:rsidRPr="007B248D" w:rsidRDefault="000B4C4C" w:rsidP="0043225C">
            <w:pPr>
              <w:pStyle w:val="TableParagraph"/>
              <w:spacing w:after="120" w:line="276" w:lineRule="auto"/>
              <w:ind w:left="108" w:right="176"/>
              <w:jc w:val="both"/>
              <w:rPr>
                <w:lang w:val="en-NZ"/>
              </w:rPr>
            </w:pPr>
            <w:r w:rsidRPr="0062568B">
              <w:rPr>
                <w:lang w:val="en-NZ"/>
              </w:rPr>
              <w:t xml:space="preserve">Under </w:t>
            </w:r>
            <w:r w:rsidR="00DB05AF">
              <w:rPr>
                <w:lang w:val="en-NZ"/>
              </w:rPr>
              <w:t>clause</w:t>
            </w:r>
            <w:r w:rsidRPr="0062568B">
              <w:rPr>
                <w:lang w:val="en-NZ"/>
              </w:rPr>
              <w:t xml:space="preserve"> 31</w:t>
            </w:r>
            <w:r w:rsidR="003C1154">
              <w:rPr>
                <w:lang w:val="en-NZ"/>
              </w:rPr>
              <w:t>5</w:t>
            </w:r>
            <w:r w:rsidRPr="0062568B">
              <w:rPr>
                <w:lang w:val="en-NZ"/>
              </w:rPr>
              <w:t xml:space="preserve"> of the Arms Bill the responsible Minister appoints members</w:t>
            </w:r>
            <w:r>
              <w:rPr>
                <w:lang w:val="en-NZ"/>
              </w:rPr>
              <w:t xml:space="preserve">. </w:t>
            </w:r>
          </w:p>
        </w:tc>
      </w:tr>
      <w:tr w:rsidR="000B4C4C" w:rsidRPr="0062568B" w14:paraId="5B6BED4D" w14:textId="77777777" w:rsidTr="0F91F30C">
        <w:trPr>
          <w:trHeight w:val="1627"/>
        </w:trPr>
        <w:tc>
          <w:tcPr>
            <w:tcW w:w="2127" w:type="dxa"/>
          </w:tcPr>
          <w:p w14:paraId="57295C6D" w14:textId="77777777" w:rsidR="000B4C4C" w:rsidRPr="0062568B" w:rsidRDefault="000B4C4C" w:rsidP="0043225C">
            <w:pPr>
              <w:pStyle w:val="TableParagraph"/>
              <w:rPr>
                <w:b/>
                <w:lang w:val="en-NZ"/>
              </w:rPr>
            </w:pPr>
            <w:r w:rsidRPr="0062568B">
              <w:rPr>
                <w:b/>
                <w:lang w:val="en-NZ"/>
              </w:rPr>
              <w:t>Reporting</w:t>
            </w:r>
            <w:r w:rsidRPr="0062568B">
              <w:rPr>
                <w:b/>
                <w:spacing w:val="-6"/>
                <w:lang w:val="en-NZ"/>
              </w:rPr>
              <w:t xml:space="preserve"> </w:t>
            </w:r>
            <w:r w:rsidRPr="0062568B">
              <w:rPr>
                <w:b/>
                <w:spacing w:val="-5"/>
                <w:lang w:val="en-NZ"/>
              </w:rPr>
              <w:t>to</w:t>
            </w:r>
          </w:p>
        </w:tc>
        <w:tc>
          <w:tcPr>
            <w:tcW w:w="7513" w:type="dxa"/>
          </w:tcPr>
          <w:p w14:paraId="68CB9E95" w14:textId="77777777" w:rsidR="000B4C4C" w:rsidRPr="0062568B" w:rsidRDefault="000B4C4C" w:rsidP="0043225C">
            <w:pPr>
              <w:pStyle w:val="TableParagraph"/>
              <w:spacing w:line="276" w:lineRule="auto"/>
              <w:ind w:right="178"/>
              <w:jc w:val="both"/>
              <w:rPr>
                <w:lang w:val="en-NZ"/>
              </w:rPr>
            </w:pPr>
            <w:r w:rsidRPr="0062568B">
              <w:rPr>
                <w:lang w:val="en-NZ"/>
              </w:rPr>
              <w:t xml:space="preserve">The Minister responsible for </w:t>
            </w:r>
            <w:r>
              <w:rPr>
                <w:lang w:val="en-NZ"/>
              </w:rPr>
              <w:t>the Arms Act.</w:t>
            </w:r>
            <w:r w:rsidRPr="0062568B">
              <w:rPr>
                <w:lang w:val="en-NZ"/>
              </w:rPr>
              <w:t xml:space="preserve"> </w:t>
            </w:r>
          </w:p>
          <w:p w14:paraId="668FA3ED" w14:textId="77777777" w:rsidR="000B4C4C" w:rsidRDefault="000B4C4C" w:rsidP="0043225C">
            <w:pPr>
              <w:pStyle w:val="TableParagraph"/>
              <w:spacing w:line="276" w:lineRule="auto"/>
              <w:ind w:right="178"/>
              <w:jc w:val="both"/>
              <w:rPr>
                <w:lang w:val="en-NZ"/>
              </w:rPr>
            </w:pPr>
            <w:r w:rsidRPr="0062568B">
              <w:rPr>
                <w:lang w:val="en-NZ"/>
              </w:rPr>
              <w:t>The Review Committee publishes its procedures and how applicants can apply for a review. The Review Committee may</w:t>
            </w:r>
            <w:r>
              <w:rPr>
                <w:lang w:val="en-NZ"/>
              </w:rPr>
              <w:t>,</w:t>
            </w:r>
            <w:r w:rsidRPr="0062568B">
              <w:rPr>
                <w:lang w:val="en-NZ"/>
              </w:rPr>
              <w:t xml:space="preserve"> from time to time</w:t>
            </w:r>
            <w:r>
              <w:rPr>
                <w:lang w:val="en-NZ"/>
              </w:rPr>
              <w:t>,</w:t>
            </w:r>
            <w:r w:rsidRPr="0062568B">
              <w:rPr>
                <w:lang w:val="en-NZ"/>
              </w:rPr>
              <w:t xml:space="preserve"> publish a summary of </w:t>
            </w:r>
            <w:r>
              <w:rPr>
                <w:lang w:val="en-NZ"/>
              </w:rPr>
              <w:t>its</w:t>
            </w:r>
            <w:r w:rsidRPr="0062568B">
              <w:rPr>
                <w:lang w:val="en-NZ"/>
              </w:rPr>
              <w:t xml:space="preserve"> decisions.</w:t>
            </w:r>
          </w:p>
          <w:p w14:paraId="2F90A738" w14:textId="77777777" w:rsidR="000B4C4C" w:rsidRPr="0062568B" w:rsidRDefault="000B4C4C" w:rsidP="00692FEE">
            <w:pPr>
              <w:pStyle w:val="TableParagraph"/>
              <w:spacing w:after="120" w:line="276" w:lineRule="auto"/>
              <w:ind w:left="108" w:right="176"/>
              <w:jc w:val="both"/>
              <w:rPr>
                <w:lang w:val="en-NZ"/>
              </w:rPr>
            </w:pPr>
            <w:r>
              <w:rPr>
                <w:lang w:val="en-NZ"/>
              </w:rPr>
              <w:t>The Review Committee will also provide annual reports on their work to the Ministry of Justice as the monitoring department.</w:t>
            </w:r>
          </w:p>
        </w:tc>
      </w:tr>
      <w:tr w:rsidR="000B4C4C" w:rsidRPr="0062568B" w14:paraId="432DAB87" w14:textId="77777777" w:rsidTr="0F91F30C">
        <w:trPr>
          <w:trHeight w:val="3105"/>
        </w:trPr>
        <w:tc>
          <w:tcPr>
            <w:tcW w:w="2127" w:type="dxa"/>
          </w:tcPr>
          <w:p w14:paraId="567B9AA2" w14:textId="77777777" w:rsidR="000B4C4C" w:rsidRPr="0062568B" w:rsidRDefault="000B4C4C" w:rsidP="0043225C">
            <w:pPr>
              <w:pStyle w:val="TableParagraph"/>
              <w:spacing w:line="276" w:lineRule="auto"/>
              <w:ind w:right="4"/>
              <w:rPr>
                <w:b/>
                <w:lang w:val="en-NZ"/>
              </w:rPr>
            </w:pPr>
            <w:r w:rsidRPr="0062568B">
              <w:rPr>
                <w:b/>
                <w:spacing w:val="-4"/>
                <w:lang w:val="en-NZ"/>
              </w:rPr>
              <w:t xml:space="preserve">Key </w:t>
            </w:r>
            <w:r w:rsidRPr="0062568B">
              <w:rPr>
                <w:b/>
                <w:spacing w:val="-2"/>
                <w:lang w:val="en-NZ"/>
              </w:rPr>
              <w:t>Relationships</w:t>
            </w:r>
          </w:p>
        </w:tc>
        <w:tc>
          <w:tcPr>
            <w:tcW w:w="7513" w:type="dxa"/>
          </w:tcPr>
          <w:p w14:paraId="5EE815C3" w14:textId="77777777" w:rsidR="000B4C4C" w:rsidRPr="0062568B" w:rsidRDefault="000B4C4C" w:rsidP="000B4C4C">
            <w:pPr>
              <w:pStyle w:val="TableParagraph"/>
              <w:numPr>
                <w:ilvl w:val="0"/>
                <w:numId w:val="2"/>
              </w:numPr>
              <w:tabs>
                <w:tab w:val="left" w:pos="464"/>
              </w:tabs>
              <w:spacing w:line="276" w:lineRule="auto"/>
              <w:ind w:hanging="357"/>
              <w:rPr>
                <w:lang w:val="en-NZ"/>
              </w:rPr>
            </w:pPr>
            <w:r w:rsidRPr="0062568B">
              <w:rPr>
                <w:lang w:val="en-NZ"/>
              </w:rPr>
              <w:t>Other Review</w:t>
            </w:r>
            <w:r w:rsidRPr="0062568B">
              <w:rPr>
                <w:spacing w:val="-4"/>
                <w:lang w:val="en-NZ"/>
              </w:rPr>
              <w:t xml:space="preserve"> </w:t>
            </w:r>
            <w:r w:rsidRPr="0062568B">
              <w:rPr>
                <w:spacing w:val="-2"/>
                <w:lang w:val="en-NZ"/>
              </w:rPr>
              <w:t>Committee Members</w:t>
            </w:r>
          </w:p>
          <w:p w14:paraId="0897BCAD" w14:textId="77777777" w:rsidR="000B4C4C" w:rsidRPr="0062568B" w:rsidRDefault="000B4C4C" w:rsidP="000B4C4C">
            <w:pPr>
              <w:pStyle w:val="TableParagraph"/>
              <w:numPr>
                <w:ilvl w:val="0"/>
                <w:numId w:val="2"/>
              </w:numPr>
              <w:tabs>
                <w:tab w:val="left" w:pos="464"/>
              </w:tabs>
              <w:spacing w:before="0" w:line="276" w:lineRule="auto"/>
              <w:ind w:hanging="357"/>
              <w:rPr>
                <w:lang w:val="en-NZ"/>
              </w:rPr>
            </w:pPr>
            <w:r w:rsidRPr="0062568B">
              <w:rPr>
                <w:lang w:val="en-NZ"/>
              </w:rPr>
              <w:t>Minister</w:t>
            </w:r>
            <w:r w:rsidRPr="0062568B">
              <w:rPr>
                <w:spacing w:val="-4"/>
                <w:lang w:val="en-NZ"/>
              </w:rPr>
              <w:t xml:space="preserve"> responsible for </w:t>
            </w:r>
            <w:r>
              <w:rPr>
                <w:spacing w:val="-4"/>
                <w:lang w:val="en-NZ"/>
              </w:rPr>
              <w:t>the Arms Act</w:t>
            </w:r>
          </w:p>
          <w:p w14:paraId="402DDC5D" w14:textId="1A4A64A6" w:rsidR="000B4C4C" w:rsidRPr="0062568B" w:rsidRDefault="66E1B57D" w:rsidP="000B4C4C">
            <w:pPr>
              <w:pStyle w:val="TableParagraph"/>
              <w:numPr>
                <w:ilvl w:val="0"/>
                <w:numId w:val="2"/>
              </w:numPr>
              <w:tabs>
                <w:tab w:val="left" w:pos="464"/>
              </w:tabs>
              <w:spacing w:before="0" w:line="276" w:lineRule="auto"/>
              <w:ind w:hanging="357"/>
              <w:rPr>
                <w:lang w:val="en-NZ"/>
              </w:rPr>
            </w:pPr>
            <w:r w:rsidRPr="0062568B">
              <w:rPr>
                <w:lang w:val="en-NZ"/>
              </w:rPr>
              <w:t xml:space="preserve">Firearms Safety and Education New Zealand </w:t>
            </w:r>
            <w:r w:rsidRPr="0062568B">
              <w:rPr>
                <w:spacing w:val="-2"/>
                <w:lang w:val="en-NZ"/>
              </w:rPr>
              <w:t>Chief Executive</w:t>
            </w:r>
            <w:r w:rsidR="00DB05AF">
              <w:rPr>
                <w:spacing w:val="-2"/>
                <w:lang w:val="en-NZ"/>
              </w:rPr>
              <w:t xml:space="preserve"> and staff </w:t>
            </w:r>
          </w:p>
          <w:p w14:paraId="51B34654" w14:textId="77777777" w:rsidR="000B4C4C" w:rsidRPr="0062568B" w:rsidRDefault="000B4C4C" w:rsidP="000B4C4C">
            <w:pPr>
              <w:pStyle w:val="TableParagraph"/>
              <w:numPr>
                <w:ilvl w:val="0"/>
                <w:numId w:val="2"/>
              </w:numPr>
              <w:tabs>
                <w:tab w:val="left" w:pos="464"/>
              </w:tabs>
              <w:spacing w:before="0" w:line="276" w:lineRule="auto"/>
              <w:ind w:hanging="357"/>
              <w:rPr>
                <w:lang w:val="en-NZ"/>
              </w:rPr>
            </w:pPr>
            <w:r w:rsidRPr="0062568B">
              <w:rPr>
                <w:lang w:val="en-NZ"/>
              </w:rPr>
              <w:t>Applicants,</w:t>
            </w:r>
            <w:r w:rsidRPr="0062568B">
              <w:rPr>
                <w:spacing w:val="-7"/>
                <w:lang w:val="en-NZ"/>
              </w:rPr>
              <w:t xml:space="preserve"> and </w:t>
            </w:r>
            <w:r w:rsidRPr="0062568B">
              <w:rPr>
                <w:lang w:val="en-NZ"/>
              </w:rPr>
              <w:t>applicant’s</w:t>
            </w:r>
            <w:r w:rsidRPr="0062568B">
              <w:rPr>
                <w:spacing w:val="-7"/>
                <w:lang w:val="en-NZ"/>
              </w:rPr>
              <w:t xml:space="preserve"> </w:t>
            </w:r>
            <w:r w:rsidRPr="0062568B">
              <w:rPr>
                <w:spacing w:val="-2"/>
                <w:lang w:val="en-NZ"/>
              </w:rPr>
              <w:t>advocates</w:t>
            </w:r>
          </w:p>
          <w:p w14:paraId="659DF608" w14:textId="77777777" w:rsidR="000B4C4C" w:rsidRPr="0062568B" w:rsidRDefault="000B4C4C" w:rsidP="000B4C4C">
            <w:pPr>
              <w:pStyle w:val="TableParagraph"/>
              <w:numPr>
                <w:ilvl w:val="0"/>
                <w:numId w:val="2"/>
              </w:numPr>
              <w:tabs>
                <w:tab w:val="left" w:pos="464"/>
              </w:tabs>
              <w:spacing w:before="0" w:line="276" w:lineRule="auto"/>
              <w:ind w:hanging="357"/>
              <w:rPr>
                <w:spacing w:val="-2"/>
                <w:lang w:val="en-NZ"/>
              </w:rPr>
            </w:pPr>
            <w:r w:rsidRPr="0062568B">
              <w:rPr>
                <w:spacing w:val="-2"/>
                <w:lang w:val="en-NZ"/>
              </w:rPr>
              <w:t>Ministry of Justice</w:t>
            </w:r>
          </w:p>
          <w:p w14:paraId="77F471DC" w14:textId="77777777" w:rsidR="000B4C4C" w:rsidRPr="0062568B" w:rsidRDefault="000B4C4C" w:rsidP="000B4C4C">
            <w:pPr>
              <w:pStyle w:val="TableParagraph"/>
              <w:numPr>
                <w:ilvl w:val="0"/>
                <w:numId w:val="2"/>
              </w:numPr>
              <w:tabs>
                <w:tab w:val="left" w:pos="464"/>
              </w:tabs>
              <w:spacing w:before="0" w:line="276" w:lineRule="auto"/>
              <w:ind w:hanging="357"/>
              <w:rPr>
                <w:spacing w:val="-2"/>
                <w:lang w:val="en-NZ"/>
              </w:rPr>
            </w:pPr>
            <w:r w:rsidRPr="0062568B">
              <w:rPr>
                <w:spacing w:val="-2"/>
                <w:lang w:val="en-NZ"/>
              </w:rPr>
              <w:t>Police Commissioner and NZ Police</w:t>
            </w:r>
          </w:p>
          <w:p w14:paraId="77C106C5" w14:textId="77777777" w:rsidR="000B4C4C" w:rsidRPr="0062568B" w:rsidRDefault="000B4C4C" w:rsidP="000B4C4C">
            <w:pPr>
              <w:pStyle w:val="TableParagraph"/>
              <w:numPr>
                <w:ilvl w:val="0"/>
                <w:numId w:val="2"/>
              </w:numPr>
              <w:tabs>
                <w:tab w:val="left" w:pos="464"/>
              </w:tabs>
              <w:spacing w:before="0" w:line="276" w:lineRule="auto"/>
              <w:ind w:hanging="357"/>
              <w:rPr>
                <w:spacing w:val="-2"/>
                <w:lang w:val="en-NZ"/>
              </w:rPr>
            </w:pPr>
            <w:r w:rsidRPr="0062568B">
              <w:rPr>
                <w:spacing w:val="-2"/>
                <w:lang w:val="en-NZ"/>
              </w:rPr>
              <w:t>Firearms owning community and related professional groups (e.g., NZ Deerstalkers Association and others).</w:t>
            </w:r>
          </w:p>
        </w:tc>
      </w:tr>
      <w:tr w:rsidR="000B4C4C" w:rsidRPr="0062568B" w14:paraId="3E46260B" w14:textId="77777777" w:rsidTr="0F91F30C">
        <w:trPr>
          <w:trHeight w:val="823"/>
        </w:trPr>
        <w:tc>
          <w:tcPr>
            <w:tcW w:w="2127" w:type="dxa"/>
          </w:tcPr>
          <w:p w14:paraId="4A1A2C8A" w14:textId="77777777" w:rsidR="000B4C4C" w:rsidRPr="0062568B" w:rsidRDefault="000B4C4C" w:rsidP="0043225C">
            <w:pPr>
              <w:pStyle w:val="TableParagraph"/>
              <w:spacing w:line="278" w:lineRule="auto"/>
              <w:rPr>
                <w:b/>
                <w:spacing w:val="-2"/>
                <w:lang w:val="en-NZ"/>
              </w:rPr>
            </w:pPr>
            <w:r w:rsidRPr="0062568B">
              <w:rPr>
                <w:b/>
                <w:spacing w:val="-2"/>
                <w:lang w:val="en-NZ"/>
              </w:rPr>
              <w:lastRenderedPageBreak/>
              <w:t>Remuneration</w:t>
            </w:r>
          </w:p>
        </w:tc>
        <w:tc>
          <w:tcPr>
            <w:tcW w:w="7513" w:type="dxa"/>
          </w:tcPr>
          <w:p w14:paraId="692B8372" w14:textId="77777777" w:rsidR="000B4C4C" w:rsidRPr="0062568B" w:rsidRDefault="000B4C4C" w:rsidP="0043225C">
            <w:pPr>
              <w:pStyle w:val="TableParagraph"/>
              <w:spacing w:line="278" w:lineRule="auto"/>
              <w:ind w:right="205"/>
              <w:jc w:val="both"/>
              <w:rPr>
                <w:spacing w:val="-2"/>
                <w:lang w:val="en-NZ"/>
              </w:rPr>
            </w:pPr>
            <w:r w:rsidRPr="0062568B">
              <w:rPr>
                <w:lang w:val="en-NZ"/>
              </w:rPr>
              <w:t xml:space="preserve">Remuneration for all members of the Review Committee </w:t>
            </w:r>
            <w:r>
              <w:rPr>
                <w:lang w:val="en-NZ"/>
              </w:rPr>
              <w:t>is</w:t>
            </w:r>
            <w:r w:rsidRPr="0062568B">
              <w:rPr>
                <w:spacing w:val="-5"/>
                <w:lang w:val="en-NZ"/>
              </w:rPr>
              <w:t xml:space="preserve"> </w:t>
            </w:r>
            <w:r w:rsidRPr="0062568B">
              <w:rPr>
                <w:lang w:val="en-NZ"/>
              </w:rPr>
              <w:t>set</w:t>
            </w:r>
            <w:r w:rsidRPr="0062568B">
              <w:rPr>
                <w:spacing w:val="-6"/>
                <w:lang w:val="en-NZ"/>
              </w:rPr>
              <w:t xml:space="preserve"> </w:t>
            </w:r>
            <w:r w:rsidRPr="0062568B">
              <w:rPr>
                <w:lang w:val="en-NZ"/>
              </w:rPr>
              <w:t>by</w:t>
            </w:r>
            <w:r w:rsidRPr="0062568B">
              <w:rPr>
                <w:spacing w:val="-7"/>
                <w:lang w:val="en-NZ"/>
              </w:rPr>
              <w:t xml:space="preserve"> </w:t>
            </w:r>
            <w:r w:rsidRPr="0062568B">
              <w:rPr>
                <w:lang w:val="en-NZ"/>
              </w:rPr>
              <w:t>the</w:t>
            </w:r>
            <w:r w:rsidRPr="0062568B">
              <w:rPr>
                <w:spacing w:val="-5"/>
                <w:lang w:val="en-NZ"/>
              </w:rPr>
              <w:t xml:space="preserve"> </w:t>
            </w:r>
            <w:r w:rsidRPr="0062568B">
              <w:rPr>
                <w:lang w:val="en-NZ"/>
              </w:rPr>
              <w:t>Cabinet Fees Framework</w:t>
            </w:r>
            <w:r w:rsidRPr="0062568B">
              <w:rPr>
                <w:spacing w:val="-2"/>
                <w:lang w:val="en-NZ"/>
              </w:rPr>
              <w:t>.</w:t>
            </w:r>
          </w:p>
          <w:p w14:paraId="455E9A09" w14:textId="77777777" w:rsidR="000B4C4C" w:rsidRPr="0062568B" w:rsidRDefault="000B4C4C" w:rsidP="0043225C">
            <w:pPr>
              <w:pStyle w:val="TableParagraph"/>
              <w:spacing w:line="278" w:lineRule="auto"/>
              <w:ind w:right="205"/>
              <w:jc w:val="both"/>
              <w:rPr>
                <w:spacing w:val="-2"/>
                <w:lang w:val="en-NZ"/>
              </w:rPr>
            </w:pPr>
            <w:r w:rsidRPr="0062568B">
              <w:rPr>
                <w:spacing w:val="-2"/>
                <w:lang w:val="en-NZ"/>
              </w:rPr>
              <w:t xml:space="preserve">The </w:t>
            </w:r>
            <w:r>
              <w:rPr>
                <w:spacing w:val="-2"/>
                <w:lang w:val="en-NZ"/>
              </w:rPr>
              <w:t>C</w:t>
            </w:r>
            <w:r w:rsidRPr="0062568B">
              <w:rPr>
                <w:spacing w:val="-2"/>
                <w:lang w:val="en-NZ"/>
              </w:rPr>
              <w:t>hair will be paid: $950 per day (</w:t>
            </w:r>
            <w:r>
              <w:rPr>
                <w:spacing w:val="-2"/>
                <w:lang w:val="en-NZ"/>
              </w:rPr>
              <w:t>or hourly for part days</w:t>
            </w:r>
            <w:r w:rsidRPr="0062568B">
              <w:rPr>
                <w:spacing w:val="-2"/>
                <w:lang w:val="en-NZ"/>
              </w:rPr>
              <w:t>)</w:t>
            </w:r>
          </w:p>
          <w:p w14:paraId="59481B24" w14:textId="77777777" w:rsidR="000B4C4C" w:rsidRPr="0062568B" w:rsidRDefault="000B4C4C" w:rsidP="0043225C">
            <w:pPr>
              <w:pStyle w:val="TableParagraph"/>
              <w:spacing w:after="120" w:line="276" w:lineRule="auto"/>
              <w:ind w:left="108" w:right="176"/>
              <w:jc w:val="both"/>
              <w:rPr>
                <w:spacing w:val="-2"/>
                <w:lang w:val="en-NZ"/>
              </w:rPr>
            </w:pPr>
            <w:r w:rsidRPr="00304F90">
              <w:rPr>
                <w:lang w:val="en-NZ"/>
              </w:rPr>
              <w:t>Members</w:t>
            </w:r>
            <w:r w:rsidRPr="0062568B">
              <w:rPr>
                <w:spacing w:val="-2"/>
                <w:lang w:val="en-NZ"/>
              </w:rPr>
              <w:t xml:space="preserve"> will be paid: $</w:t>
            </w:r>
            <w:r>
              <w:rPr>
                <w:spacing w:val="-2"/>
                <w:lang w:val="en-NZ"/>
              </w:rPr>
              <w:t>650</w:t>
            </w:r>
            <w:r w:rsidRPr="0062568B">
              <w:rPr>
                <w:spacing w:val="-2"/>
                <w:lang w:val="en-NZ"/>
              </w:rPr>
              <w:t xml:space="preserve"> per day (</w:t>
            </w:r>
            <w:r>
              <w:rPr>
                <w:spacing w:val="-2"/>
                <w:lang w:val="en-NZ"/>
              </w:rPr>
              <w:t>or hourly for part days</w:t>
            </w:r>
            <w:r w:rsidRPr="0062568B">
              <w:rPr>
                <w:spacing w:val="-2"/>
                <w:lang w:val="en-NZ"/>
              </w:rPr>
              <w:t xml:space="preserve">) </w:t>
            </w:r>
          </w:p>
        </w:tc>
      </w:tr>
      <w:tr w:rsidR="000B4C4C" w:rsidRPr="0062568B" w14:paraId="7B2CE5CC" w14:textId="77777777" w:rsidTr="0F91F30C">
        <w:trPr>
          <w:trHeight w:val="823"/>
        </w:trPr>
        <w:tc>
          <w:tcPr>
            <w:tcW w:w="2127" w:type="dxa"/>
          </w:tcPr>
          <w:p w14:paraId="242E5867" w14:textId="77777777" w:rsidR="000B4C4C" w:rsidRPr="0062568B" w:rsidRDefault="000B4C4C" w:rsidP="0043225C">
            <w:pPr>
              <w:pStyle w:val="TableParagraph"/>
              <w:jc w:val="both"/>
              <w:rPr>
                <w:b/>
                <w:bCs/>
                <w:lang w:val="en-NZ"/>
              </w:rPr>
            </w:pPr>
            <w:r w:rsidRPr="0062568B">
              <w:rPr>
                <w:b/>
                <w:bCs/>
                <w:lang w:val="en-NZ"/>
              </w:rPr>
              <w:t>Time commitment</w:t>
            </w:r>
          </w:p>
          <w:p w14:paraId="21022A2E" w14:textId="77777777" w:rsidR="000B4C4C" w:rsidRPr="0062568B" w:rsidRDefault="000B4C4C" w:rsidP="0043225C">
            <w:pPr>
              <w:pStyle w:val="TableParagraph"/>
              <w:spacing w:line="278" w:lineRule="auto"/>
              <w:rPr>
                <w:b/>
                <w:spacing w:val="-2"/>
                <w:lang w:val="en-NZ"/>
              </w:rPr>
            </w:pPr>
          </w:p>
        </w:tc>
        <w:tc>
          <w:tcPr>
            <w:tcW w:w="7513" w:type="dxa"/>
          </w:tcPr>
          <w:p w14:paraId="6B18FA7A" w14:textId="77777777" w:rsidR="000B4C4C" w:rsidRPr="0062568B" w:rsidRDefault="000B4C4C" w:rsidP="0043225C">
            <w:pPr>
              <w:pStyle w:val="Heading1"/>
              <w:shd w:val="clear" w:color="auto" w:fill="FFFFFF"/>
              <w:spacing w:before="120" w:after="120" w:line="264" w:lineRule="atLeast"/>
              <w:ind w:left="140" w:right="139"/>
              <w:jc w:val="both"/>
              <w:textAlignment w:val="baseline"/>
              <w:rPr>
                <w:rFonts w:ascii="Arial" w:hAnsi="Arial" w:cs="Arial"/>
                <w:color w:val="000000" w:themeColor="text1"/>
                <w:sz w:val="22"/>
                <w:szCs w:val="22"/>
                <w:lang w:val="en-NZ"/>
              </w:rPr>
            </w:pPr>
            <w:r w:rsidRPr="0062568B">
              <w:rPr>
                <w:rFonts w:ascii="Arial" w:hAnsi="Arial" w:cs="Arial"/>
                <w:color w:val="000000" w:themeColor="text1"/>
                <w:sz w:val="22"/>
                <w:szCs w:val="22"/>
                <w:lang w:val="en-NZ"/>
              </w:rPr>
              <w:t>These are part-time roles.</w:t>
            </w:r>
          </w:p>
          <w:p w14:paraId="384E1D5F" w14:textId="77777777" w:rsidR="000B4C4C" w:rsidRPr="0062568B" w:rsidRDefault="000B4C4C" w:rsidP="0043225C">
            <w:pPr>
              <w:pStyle w:val="Heading1"/>
              <w:shd w:val="clear" w:color="auto" w:fill="FFFFFF"/>
              <w:spacing w:before="120" w:after="120" w:line="264" w:lineRule="atLeast"/>
              <w:ind w:left="140" w:right="139"/>
              <w:jc w:val="both"/>
              <w:textAlignment w:val="baseline"/>
              <w:rPr>
                <w:rFonts w:ascii="Arial" w:hAnsi="Arial" w:cs="Arial"/>
                <w:color w:val="000000" w:themeColor="text1"/>
                <w:sz w:val="22"/>
                <w:szCs w:val="22"/>
                <w:lang w:val="en-NZ"/>
              </w:rPr>
            </w:pPr>
            <w:r w:rsidRPr="0062568B">
              <w:rPr>
                <w:rFonts w:ascii="Arial" w:hAnsi="Arial" w:cs="Arial"/>
                <w:color w:val="000000" w:themeColor="text1"/>
                <w:sz w:val="22"/>
                <w:szCs w:val="22"/>
                <w:lang w:val="en-NZ"/>
              </w:rPr>
              <w:t xml:space="preserve">The workload of the Review Committee will vary according to the volume of reviews, the number of members appointment and the expertise of the Review Committee members. It is anticipated that, on average, </w:t>
            </w:r>
            <w:r>
              <w:rPr>
                <w:rFonts w:ascii="Arial" w:hAnsi="Arial" w:cs="Arial"/>
                <w:color w:val="000000" w:themeColor="text1"/>
                <w:sz w:val="22"/>
                <w:szCs w:val="22"/>
                <w:lang w:val="en-NZ"/>
              </w:rPr>
              <w:t xml:space="preserve">the </w:t>
            </w:r>
            <w:r w:rsidRPr="0062568B">
              <w:rPr>
                <w:rFonts w:ascii="Arial" w:hAnsi="Arial" w:cs="Arial"/>
                <w:color w:val="000000" w:themeColor="text1"/>
                <w:sz w:val="22"/>
                <w:szCs w:val="22"/>
                <w:lang w:val="en-NZ"/>
              </w:rPr>
              <w:t xml:space="preserve">Review Committee members will be required to commit around 3 days a month. </w:t>
            </w:r>
          </w:p>
          <w:p w14:paraId="27C99384" w14:textId="77777777" w:rsidR="000B4C4C" w:rsidRPr="0062568B" w:rsidRDefault="000B4C4C" w:rsidP="0043225C">
            <w:pPr>
              <w:pStyle w:val="TableParagraph"/>
              <w:spacing w:after="120" w:line="276" w:lineRule="auto"/>
              <w:ind w:left="108" w:right="176"/>
              <w:jc w:val="both"/>
              <w:rPr>
                <w:lang w:val="en-NZ"/>
              </w:rPr>
            </w:pPr>
            <w:r w:rsidRPr="0062568B">
              <w:rPr>
                <w:color w:val="000000" w:themeColor="text1"/>
                <w:lang w:val="en-NZ"/>
              </w:rPr>
              <w:t>This includes the reading and review</w:t>
            </w:r>
            <w:r>
              <w:rPr>
                <w:color w:val="000000" w:themeColor="text1"/>
                <w:lang w:val="en-NZ"/>
              </w:rPr>
              <w:t>ing</w:t>
            </w:r>
            <w:r w:rsidRPr="0062568B">
              <w:rPr>
                <w:color w:val="000000" w:themeColor="text1"/>
                <w:lang w:val="en-NZ"/>
              </w:rPr>
              <w:t xml:space="preserve"> of cases and panel meetings to </w:t>
            </w:r>
            <w:r w:rsidRPr="00304F90">
              <w:rPr>
                <w:lang w:val="en-NZ"/>
              </w:rPr>
              <w:t>reach</w:t>
            </w:r>
            <w:r w:rsidRPr="0062568B">
              <w:rPr>
                <w:color w:val="000000" w:themeColor="text1"/>
                <w:lang w:val="en-NZ"/>
              </w:rPr>
              <w:t xml:space="preserve"> decision</w:t>
            </w:r>
            <w:r>
              <w:rPr>
                <w:color w:val="000000" w:themeColor="text1"/>
                <w:lang w:val="en-NZ"/>
              </w:rPr>
              <w:t>s</w:t>
            </w:r>
            <w:r w:rsidRPr="0062568B">
              <w:rPr>
                <w:color w:val="000000" w:themeColor="text1"/>
                <w:lang w:val="en-NZ"/>
              </w:rPr>
              <w:t xml:space="preserve">. There will also be approximately 3 days per annum of training, for </w:t>
            </w:r>
            <w:r>
              <w:rPr>
                <w:color w:val="000000" w:themeColor="text1"/>
                <w:lang w:val="en-NZ"/>
              </w:rPr>
              <w:t xml:space="preserve">induction, </w:t>
            </w:r>
            <w:r w:rsidRPr="0062568B">
              <w:rPr>
                <w:color w:val="000000" w:themeColor="text1"/>
                <w:lang w:val="en-NZ"/>
              </w:rPr>
              <w:t xml:space="preserve">review of procedure, and to ensure consistency of decisions. </w:t>
            </w:r>
          </w:p>
        </w:tc>
      </w:tr>
      <w:tr w:rsidR="000B4C4C" w:rsidRPr="0062568B" w14:paraId="2C0A90BF" w14:textId="77777777" w:rsidTr="0F91F30C">
        <w:trPr>
          <w:trHeight w:val="1134"/>
        </w:trPr>
        <w:tc>
          <w:tcPr>
            <w:tcW w:w="2127" w:type="dxa"/>
          </w:tcPr>
          <w:p w14:paraId="0478C1D1" w14:textId="77777777" w:rsidR="000B4C4C" w:rsidRPr="0062568B" w:rsidRDefault="000B4C4C" w:rsidP="0043225C">
            <w:pPr>
              <w:pStyle w:val="TableParagraph"/>
              <w:rPr>
                <w:b/>
                <w:lang w:val="en-NZ"/>
              </w:rPr>
            </w:pPr>
            <w:r w:rsidRPr="0062568B">
              <w:rPr>
                <w:b/>
                <w:spacing w:val="-2"/>
                <w:lang w:val="en-NZ"/>
              </w:rPr>
              <w:t>Term</w:t>
            </w:r>
          </w:p>
        </w:tc>
        <w:tc>
          <w:tcPr>
            <w:tcW w:w="7513" w:type="dxa"/>
          </w:tcPr>
          <w:p w14:paraId="27B02866" w14:textId="35E14821" w:rsidR="000B4C4C" w:rsidRPr="0062568B" w:rsidRDefault="66E1B57D" w:rsidP="0043225C">
            <w:pPr>
              <w:pStyle w:val="TableParagraph"/>
              <w:spacing w:after="120" w:line="276" w:lineRule="auto"/>
              <w:ind w:left="108" w:right="176"/>
              <w:jc w:val="both"/>
              <w:rPr>
                <w:lang w:val="en-NZ"/>
              </w:rPr>
            </w:pPr>
            <w:r w:rsidRPr="0062568B">
              <w:rPr>
                <w:lang w:val="en-NZ"/>
              </w:rPr>
              <w:t>Appointments</w:t>
            </w:r>
            <w:r w:rsidRPr="0062568B">
              <w:rPr>
                <w:spacing w:val="-6"/>
                <w:lang w:val="en-NZ"/>
              </w:rPr>
              <w:t xml:space="preserve"> </w:t>
            </w:r>
            <w:r w:rsidRPr="0062568B">
              <w:rPr>
                <w:lang w:val="en-NZ"/>
              </w:rPr>
              <w:t>to</w:t>
            </w:r>
            <w:r w:rsidRPr="0062568B">
              <w:rPr>
                <w:spacing w:val="-5"/>
                <w:lang w:val="en-NZ"/>
              </w:rPr>
              <w:t xml:space="preserve"> </w:t>
            </w:r>
            <w:r w:rsidRPr="0062568B">
              <w:rPr>
                <w:lang w:val="en-NZ"/>
              </w:rPr>
              <w:t>the Review Committee</w:t>
            </w:r>
            <w:r w:rsidRPr="0062568B">
              <w:rPr>
                <w:spacing w:val="-4"/>
                <w:lang w:val="en-NZ"/>
              </w:rPr>
              <w:t xml:space="preserve"> </w:t>
            </w:r>
            <w:r w:rsidRPr="0062568B">
              <w:rPr>
                <w:lang w:val="en-NZ"/>
              </w:rPr>
              <w:t>are</w:t>
            </w:r>
            <w:r w:rsidRPr="0062568B">
              <w:rPr>
                <w:spacing w:val="-5"/>
                <w:lang w:val="en-NZ"/>
              </w:rPr>
              <w:t xml:space="preserve"> </w:t>
            </w:r>
            <w:r w:rsidRPr="0062568B">
              <w:rPr>
                <w:lang w:val="en-NZ"/>
              </w:rPr>
              <w:t>subject</w:t>
            </w:r>
            <w:r w:rsidRPr="0062568B">
              <w:rPr>
                <w:spacing w:val="-3"/>
                <w:lang w:val="en-NZ"/>
              </w:rPr>
              <w:t xml:space="preserve"> </w:t>
            </w:r>
            <w:r w:rsidRPr="0062568B">
              <w:rPr>
                <w:lang w:val="en-NZ"/>
              </w:rPr>
              <w:t>to</w:t>
            </w:r>
            <w:r w:rsidRPr="0062568B">
              <w:rPr>
                <w:spacing w:val="-5"/>
                <w:lang w:val="en-NZ"/>
              </w:rPr>
              <w:t xml:space="preserve"> </w:t>
            </w:r>
            <w:r w:rsidRPr="0062568B">
              <w:rPr>
                <w:lang w:val="en-NZ"/>
              </w:rPr>
              <w:t>clause 31</w:t>
            </w:r>
            <w:r w:rsidR="00377DA2">
              <w:rPr>
                <w:lang w:val="en-NZ"/>
              </w:rPr>
              <w:t>5</w:t>
            </w:r>
            <w:r w:rsidRPr="0062568B">
              <w:rPr>
                <w:lang w:val="en-NZ"/>
              </w:rPr>
              <w:t xml:space="preserve"> of</w:t>
            </w:r>
            <w:r w:rsidRPr="0062568B">
              <w:rPr>
                <w:spacing w:val="-3"/>
                <w:lang w:val="en-NZ"/>
              </w:rPr>
              <w:t xml:space="preserve"> </w:t>
            </w:r>
            <w:r w:rsidRPr="0062568B">
              <w:rPr>
                <w:lang w:val="en-NZ"/>
              </w:rPr>
              <w:t>the</w:t>
            </w:r>
            <w:r w:rsidRPr="0062568B">
              <w:rPr>
                <w:spacing w:val="-5"/>
                <w:lang w:val="en-NZ"/>
              </w:rPr>
              <w:t xml:space="preserve"> </w:t>
            </w:r>
            <w:r w:rsidRPr="0062568B">
              <w:rPr>
                <w:lang w:val="en-NZ"/>
              </w:rPr>
              <w:t>Arms Bill, which states that members are appointed for a maximum term of five years and may be reappointed.</w:t>
            </w:r>
          </w:p>
        </w:tc>
      </w:tr>
      <w:tr w:rsidR="000B4C4C" w:rsidRPr="0062568B" w14:paraId="3E59F04D" w14:textId="77777777" w:rsidTr="0F91F30C">
        <w:trPr>
          <w:trHeight w:val="50"/>
        </w:trPr>
        <w:tc>
          <w:tcPr>
            <w:tcW w:w="2127" w:type="dxa"/>
          </w:tcPr>
          <w:p w14:paraId="2C5FB200" w14:textId="77777777" w:rsidR="000B4C4C" w:rsidRPr="0062568B" w:rsidRDefault="000B4C4C" w:rsidP="0043225C">
            <w:pPr>
              <w:pStyle w:val="TableParagraph"/>
              <w:jc w:val="both"/>
              <w:rPr>
                <w:b/>
                <w:lang w:val="en-NZ"/>
              </w:rPr>
            </w:pPr>
            <w:r w:rsidRPr="0062568B">
              <w:rPr>
                <w:b/>
                <w:spacing w:val="-2"/>
                <w:lang w:val="en-NZ"/>
              </w:rPr>
              <w:t>Functions</w:t>
            </w:r>
          </w:p>
        </w:tc>
        <w:tc>
          <w:tcPr>
            <w:tcW w:w="7513" w:type="dxa"/>
          </w:tcPr>
          <w:p w14:paraId="6E3C6FD5" w14:textId="77777777" w:rsidR="000B4C4C" w:rsidRPr="0062568B" w:rsidRDefault="000B4C4C" w:rsidP="00F453A5">
            <w:pPr>
              <w:pStyle w:val="TableParagraph"/>
              <w:ind w:left="108"/>
              <w:jc w:val="both"/>
              <w:rPr>
                <w:bCs/>
                <w:spacing w:val="-2"/>
                <w:lang w:val="en-NZ"/>
              </w:rPr>
            </w:pPr>
            <w:r w:rsidRPr="0062568B">
              <w:rPr>
                <w:b/>
                <w:lang w:val="en-NZ"/>
              </w:rPr>
              <w:t>Function</w:t>
            </w:r>
            <w:r w:rsidRPr="0062568B">
              <w:rPr>
                <w:b/>
                <w:spacing w:val="-1"/>
                <w:lang w:val="en-NZ"/>
              </w:rPr>
              <w:t xml:space="preserve"> </w:t>
            </w:r>
            <w:r w:rsidRPr="0062568B">
              <w:rPr>
                <w:b/>
                <w:lang w:val="en-NZ"/>
              </w:rPr>
              <w:t>of</w:t>
            </w:r>
            <w:r w:rsidRPr="0062568B">
              <w:rPr>
                <w:b/>
                <w:spacing w:val="-4"/>
                <w:lang w:val="en-NZ"/>
              </w:rPr>
              <w:t xml:space="preserve"> </w:t>
            </w:r>
            <w:r w:rsidRPr="0062568B">
              <w:rPr>
                <w:b/>
                <w:lang w:val="en-NZ"/>
              </w:rPr>
              <w:t>the</w:t>
            </w:r>
            <w:r w:rsidRPr="0062568B">
              <w:rPr>
                <w:b/>
                <w:spacing w:val="-2"/>
                <w:lang w:val="en-NZ"/>
              </w:rPr>
              <w:t xml:space="preserve"> Review Committee </w:t>
            </w:r>
            <w:r w:rsidRPr="0062568B">
              <w:rPr>
                <w:bCs/>
                <w:lang w:val="en-NZ"/>
              </w:rPr>
              <w:t>(clause 314)</w:t>
            </w:r>
          </w:p>
          <w:p w14:paraId="1F9B234F" w14:textId="77777777" w:rsidR="000B4C4C" w:rsidRPr="0062568B" w:rsidRDefault="000B4C4C" w:rsidP="0043225C">
            <w:pPr>
              <w:pStyle w:val="TableParagraph"/>
              <w:spacing w:before="0"/>
              <w:jc w:val="both"/>
              <w:rPr>
                <w:b/>
                <w:sz w:val="20"/>
                <w:szCs w:val="20"/>
                <w:lang w:val="en-NZ"/>
              </w:rPr>
            </w:pPr>
          </w:p>
          <w:p w14:paraId="1DA65AF4" w14:textId="77777777" w:rsidR="000B4C4C" w:rsidRPr="007B248D" w:rsidRDefault="000B4C4C" w:rsidP="0043225C">
            <w:pPr>
              <w:pStyle w:val="TableParagraph"/>
              <w:spacing w:before="0"/>
              <w:ind w:right="178"/>
              <w:jc w:val="both"/>
              <w:rPr>
                <w:lang w:val="en-NZ"/>
              </w:rPr>
            </w:pPr>
            <w:r w:rsidRPr="007B248D">
              <w:rPr>
                <w:lang w:val="en-NZ"/>
              </w:rPr>
              <w:t xml:space="preserve">The Review Committee’s function is to review decisions of </w:t>
            </w:r>
            <w:r>
              <w:rPr>
                <w:lang w:val="en-NZ"/>
              </w:rPr>
              <w:t xml:space="preserve">the </w:t>
            </w:r>
            <w:r w:rsidRPr="007B248D">
              <w:rPr>
                <w:lang w:val="en-NZ"/>
              </w:rPr>
              <w:t xml:space="preserve">Firearms Safety and Education New Zealand where </w:t>
            </w:r>
            <w:r>
              <w:rPr>
                <w:lang w:val="en-NZ"/>
              </w:rPr>
              <w:t>it</w:t>
            </w:r>
            <w:r w:rsidRPr="007B248D">
              <w:rPr>
                <w:lang w:val="en-NZ"/>
              </w:rPr>
              <w:t>:</w:t>
            </w:r>
          </w:p>
          <w:p w14:paraId="11FC0089" w14:textId="77777777" w:rsidR="000B4C4C" w:rsidRPr="007B248D" w:rsidRDefault="000B4C4C" w:rsidP="0043225C">
            <w:pPr>
              <w:pStyle w:val="TableParagraph"/>
              <w:spacing w:before="0"/>
              <w:ind w:right="178"/>
              <w:jc w:val="both"/>
              <w:rPr>
                <w:lang w:val="en-NZ"/>
              </w:rPr>
            </w:pPr>
            <w:r w:rsidRPr="007B248D">
              <w:rPr>
                <w:lang w:val="en-NZ"/>
              </w:rPr>
              <w:t>(a) declin</w:t>
            </w:r>
            <w:r>
              <w:rPr>
                <w:lang w:val="en-NZ"/>
              </w:rPr>
              <w:t>es</w:t>
            </w:r>
            <w:r w:rsidRPr="007B248D">
              <w:rPr>
                <w:lang w:val="en-NZ"/>
              </w:rPr>
              <w:t xml:space="preserve"> to issue a firearms licence (clause 67)</w:t>
            </w:r>
          </w:p>
          <w:p w14:paraId="0BAD3C99" w14:textId="77777777" w:rsidR="000B4C4C" w:rsidRPr="007B248D" w:rsidRDefault="000B4C4C" w:rsidP="0043225C">
            <w:pPr>
              <w:pStyle w:val="TableParagraph"/>
              <w:ind w:right="178"/>
              <w:rPr>
                <w:lang w:val="en-NZ"/>
              </w:rPr>
            </w:pPr>
            <w:r w:rsidRPr="007B248D">
              <w:rPr>
                <w:lang w:val="en-NZ"/>
              </w:rPr>
              <w:t>(b) impos</w:t>
            </w:r>
            <w:r>
              <w:rPr>
                <w:lang w:val="en-NZ"/>
              </w:rPr>
              <w:t xml:space="preserve">es </w:t>
            </w:r>
            <w:r w:rsidRPr="007B248D">
              <w:rPr>
                <w:lang w:val="en-NZ"/>
              </w:rPr>
              <w:t>a condition on a firearms licence (clause 74)</w:t>
            </w:r>
          </w:p>
          <w:p w14:paraId="0FFA6F3C" w14:textId="77777777" w:rsidR="000B4C4C" w:rsidRPr="007B248D" w:rsidRDefault="000B4C4C" w:rsidP="0043225C">
            <w:pPr>
              <w:pStyle w:val="TableParagraph"/>
              <w:ind w:right="178"/>
              <w:rPr>
                <w:lang w:val="en-NZ"/>
              </w:rPr>
            </w:pPr>
            <w:r w:rsidRPr="007B248D">
              <w:rPr>
                <w:lang w:val="en-NZ"/>
              </w:rPr>
              <w:t>(c) revok</w:t>
            </w:r>
            <w:r>
              <w:rPr>
                <w:lang w:val="en-NZ"/>
              </w:rPr>
              <w:t>es</w:t>
            </w:r>
            <w:r w:rsidRPr="007B248D">
              <w:rPr>
                <w:lang w:val="en-NZ"/>
              </w:rPr>
              <w:t xml:space="preserve"> a firearms licence (clause 151 or 156).</w:t>
            </w:r>
          </w:p>
          <w:p w14:paraId="158A0660" w14:textId="77777777" w:rsidR="000B4C4C" w:rsidRPr="0062568B" w:rsidRDefault="000B4C4C" w:rsidP="0043225C">
            <w:pPr>
              <w:pStyle w:val="TableParagraph"/>
              <w:spacing w:before="0"/>
              <w:ind w:right="178"/>
              <w:jc w:val="both"/>
              <w:rPr>
                <w:lang w:val="en-NZ"/>
              </w:rPr>
            </w:pPr>
          </w:p>
          <w:p w14:paraId="6B233F7A" w14:textId="77777777" w:rsidR="000B4C4C" w:rsidRPr="0062568B" w:rsidRDefault="000B4C4C" w:rsidP="0043225C">
            <w:pPr>
              <w:pStyle w:val="TableParagraph"/>
              <w:spacing w:before="0"/>
              <w:ind w:right="178"/>
              <w:jc w:val="both"/>
              <w:rPr>
                <w:bCs/>
                <w:lang w:val="en-NZ"/>
              </w:rPr>
            </w:pPr>
            <w:r w:rsidRPr="0062568B">
              <w:rPr>
                <w:b/>
                <w:spacing w:val="-7"/>
                <w:lang w:val="en-NZ"/>
              </w:rPr>
              <w:t xml:space="preserve">The Review Committee sits in panels of 3 members </w:t>
            </w:r>
            <w:r w:rsidRPr="0062568B">
              <w:rPr>
                <w:bCs/>
                <w:lang w:val="en-NZ"/>
              </w:rPr>
              <w:t>(clause 317)</w:t>
            </w:r>
          </w:p>
          <w:p w14:paraId="42472AC6" w14:textId="77777777" w:rsidR="000B4C4C" w:rsidRPr="0062568B" w:rsidRDefault="000B4C4C" w:rsidP="0043225C">
            <w:pPr>
              <w:pStyle w:val="TableParagraph"/>
              <w:spacing w:before="0"/>
              <w:ind w:right="178"/>
              <w:jc w:val="both"/>
              <w:rPr>
                <w:b/>
                <w:sz w:val="20"/>
                <w:szCs w:val="20"/>
                <w:lang w:val="en-NZ"/>
              </w:rPr>
            </w:pPr>
          </w:p>
          <w:p w14:paraId="3F40C6B8" w14:textId="77777777" w:rsidR="000B4C4C" w:rsidRPr="007B248D" w:rsidRDefault="000B4C4C" w:rsidP="0043225C">
            <w:pPr>
              <w:pStyle w:val="TableParagraph"/>
              <w:spacing w:before="0"/>
              <w:ind w:right="178"/>
              <w:jc w:val="both"/>
              <w:rPr>
                <w:lang w:val="en-NZ"/>
              </w:rPr>
            </w:pPr>
            <w:proofErr w:type="gramStart"/>
            <w:r w:rsidRPr="007B248D">
              <w:rPr>
                <w:lang w:val="en-NZ"/>
              </w:rPr>
              <w:t>For the purpose of</w:t>
            </w:r>
            <w:proofErr w:type="gramEnd"/>
            <w:r w:rsidRPr="007B248D">
              <w:rPr>
                <w:lang w:val="en-NZ"/>
              </w:rPr>
              <w:t xml:space="preserve"> carrying out its function, the Review Committee must sit in panels of 3 members. </w:t>
            </w:r>
          </w:p>
          <w:p w14:paraId="3314640D" w14:textId="77777777" w:rsidR="000B4C4C" w:rsidRPr="007B248D" w:rsidRDefault="000B4C4C" w:rsidP="0043225C">
            <w:pPr>
              <w:pStyle w:val="TableParagraph"/>
              <w:spacing w:before="0"/>
              <w:ind w:right="178"/>
              <w:jc w:val="both"/>
              <w:rPr>
                <w:lang w:val="en-NZ"/>
              </w:rPr>
            </w:pPr>
          </w:p>
          <w:p w14:paraId="304F0D15" w14:textId="77777777" w:rsidR="000B4C4C" w:rsidRPr="007B248D" w:rsidRDefault="000B4C4C" w:rsidP="0043225C">
            <w:pPr>
              <w:pStyle w:val="TableParagraph"/>
              <w:spacing w:before="0"/>
              <w:ind w:right="178"/>
              <w:jc w:val="both"/>
              <w:rPr>
                <w:lang w:val="en-NZ"/>
              </w:rPr>
            </w:pPr>
            <w:r w:rsidRPr="007B248D">
              <w:rPr>
                <w:lang w:val="en-NZ"/>
              </w:rPr>
              <w:t>A person cannot be assigned to a panel if the person was involved in the decision being reviewed by the panel. Panels of the Review Committee may sit concurrently.</w:t>
            </w:r>
          </w:p>
          <w:p w14:paraId="63B5A79B" w14:textId="77777777" w:rsidR="000B4C4C" w:rsidRPr="007B248D" w:rsidRDefault="000B4C4C" w:rsidP="0043225C">
            <w:pPr>
              <w:pStyle w:val="TableParagraph"/>
              <w:tabs>
                <w:tab w:val="left" w:pos="609"/>
              </w:tabs>
              <w:spacing w:before="0"/>
              <w:ind w:right="160"/>
              <w:jc w:val="both"/>
              <w:rPr>
                <w:lang w:val="en-NZ"/>
              </w:rPr>
            </w:pPr>
          </w:p>
          <w:p w14:paraId="4AEBE25D" w14:textId="77777777" w:rsidR="000B4C4C" w:rsidRPr="0062568B" w:rsidRDefault="000B4C4C" w:rsidP="0043225C">
            <w:pPr>
              <w:pStyle w:val="TableParagraph"/>
              <w:spacing w:before="0"/>
              <w:ind w:right="178"/>
              <w:jc w:val="both"/>
              <w:rPr>
                <w:bCs/>
                <w:spacing w:val="-7"/>
                <w:lang w:val="en-NZ"/>
              </w:rPr>
            </w:pPr>
            <w:r w:rsidRPr="0062568B">
              <w:rPr>
                <w:b/>
                <w:spacing w:val="-7"/>
                <w:lang w:val="en-NZ"/>
              </w:rPr>
              <w:t xml:space="preserve">Procedure of </w:t>
            </w:r>
            <w:r>
              <w:rPr>
                <w:b/>
                <w:spacing w:val="-7"/>
                <w:lang w:val="en-NZ"/>
              </w:rPr>
              <w:t>p</w:t>
            </w:r>
            <w:r w:rsidRPr="0062568B">
              <w:rPr>
                <w:b/>
                <w:spacing w:val="-7"/>
                <w:lang w:val="en-NZ"/>
              </w:rPr>
              <w:t xml:space="preserve">anels </w:t>
            </w:r>
            <w:r w:rsidRPr="0062568B">
              <w:rPr>
                <w:bCs/>
                <w:spacing w:val="-7"/>
                <w:lang w:val="en-NZ"/>
              </w:rPr>
              <w:t>(clause 318)</w:t>
            </w:r>
          </w:p>
          <w:p w14:paraId="5657E9B1" w14:textId="77777777" w:rsidR="000B4C4C" w:rsidRPr="0062568B" w:rsidRDefault="000B4C4C" w:rsidP="0043225C">
            <w:pPr>
              <w:pStyle w:val="TableParagraph"/>
              <w:spacing w:before="0"/>
              <w:ind w:right="178"/>
              <w:jc w:val="both"/>
              <w:rPr>
                <w:b/>
                <w:spacing w:val="-7"/>
                <w:lang w:val="en-NZ"/>
              </w:rPr>
            </w:pPr>
          </w:p>
          <w:p w14:paraId="05AD1853" w14:textId="77777777" w:rsidR="000B4C4C" w:rsidRPr="0062568B" w:rsidRDefault="000B4C4C" w:rsidP="0043225C">
            <w:pPr>
              <w:pStyle w:val="TableParagraph"/>
              <w:spacing w:before="0"/>
              <w:ind w:right="178"/>
              <w:jc w:val="both"/>
              <w:rPr>
                <w:lang w:val="en-NZ"/>
              </w:rPr>
            </w:pPr>
            <w:r w:rsidRPr="0062568B">
              <w:rPr>
                <w:lang w:val="en-NZ"/>
              </w:rPr>
              <w:t>The Review Committee may determine their own procedures.</w:t>
            </w:r>
          </w:p>
          <w:p w14:paraId="5C8AE6A4" w14:textId="77777777" w:rsidR="000B4C4C" w:rsidRPr="007B248D" w:rsidRDefault="000B4C4C" w:rsidP="0043225C">
            <w:pPr>
              <w:pStyle w:val="TableParagraph"/>
              <w:spacing w:before="0"/>
              <w:ind w:right="178"/>
              <w:jc w:val="both"/>
              <w:rPr>
                <w:lang w:val="en-NZ"/>
              </w:rPr>
            </w:pPr>
          </w:p>
          <w:p w14:paraId="57BF0E26" w14:textId="77777777" w:rsidR="000B4C4C" w:rsidRPr="007B248D" w:rsidRDefault="000B4C4C" w:rsidP="0043225C">
            <w:pPr>
              <w:pStyle w:val="TableParagraph"/>
              <w:spacing w:before="0"/>
              <w:ind w:right="178"/>
              <w:jc w:val="both"/>
              <w:rPr>
                <w:lang w:val="en-NZ"/>
              </w:rPr>
            </w:pPr>
            <w:r w:rsidRPr="007B248D">
              <w:rPr>
                <w:lang w:val="en-NZ"/>
              </w:rPr>
              <w:t xml:space="preserve">Generally, the </w:t>
            </w:r>
            <w:r>
              <w:rPr>
                <w:lang w:val="en-NZ"/>
              </w:rPr>
              <w:t>p</w:t>
            </w:r>
            <w:r w:rsidRPr="007B248D">
              <w:rPr>
                <w:lang w:val="en-NZ"/>
              </w:rPr>
              <w:t xml:space="preserve">anel’s review of decisions is to be conducted on the papers, but an oral hearing may be conducted by electronic means if the </w:t>
            </w:r>
            <w:r>
              <w:rPr>
                <w:lang w:val="en-NZ"/>
              </w:rPr>
              <w:t>p</w:t>
            </w:r>
            <w:r w:rsidRPr="007B248D">
              <w:rPr>
                <w:lang w:val="en-NZ"/>
              </w:rPr>
              <w:t>anel agree</w:t>
            </w:r>
            <w:r>
              <w:rPr>
                <w:lang w:val="en-NZ"/>
              </w:rPr>
              <w:t>s</w:t>
            </w:r>
            <w:r w:rsidRPr="007B248D">
              <w:rPr>
                <w:lang w:val="en-NZ"/>
              </w:rPr>
              <w:t>.</w:t>
            </w:r>
          </w:p>
          <w:p w14:paraId="578EA936" w14:textId="77777777" w:rsidR="000B4C4C" w:rsidRPr="0062568B" w:rsidRDefault="000B4C4C" w:rsidP="0043225C">
            <w:pPr>
              <w:pStyle w:val="TableParagraph"/>
              <w:spacing w:before="0"/>
              <w:ind w:right="178"/>
              <w:jc w:val="both"/>
              <w:rPr>
                <w:lang w:val="en-NZ"/>
              </w:rPr>
            </w:pPr>
          </w:p>
          <w:p w14:paraId="16FE5B8E" w14:textId="77777777" w:rsidR="000B4C4C" w:rsidRPr="0062568B" w:rsidRDefault="000B4C4C" w:rsidP="0043225C">
            <w:pPr>
              <w:pStyle w:val="TableParagraph"/>
              <w:spacing w:before="0"/>
              <w:ind w:right="178"/>
              <w:jc w:val="both"/>
              <w:rPr>
                <w:lang w:val="en-NZ"/>
              </w:rPr>
            </w:pPr>
            <w:r w:rsidRPr="0062568B">
              <w:rPr>
                <w:lang w:val="en-NZ"/>
              </w:rPr>
              <w:t xml:space="preserve">A panel may require the applicant or the </w:t>
            </w:r>
            <w:r>
              <w:rPr>
                <w:lang w:val="en-NZ"/>
              </w:rPr>
              <w:t>C</w:t>
            </w:r>
            <w:r w:rsidRPr="0062568B">
              <w:rPr>
                <w:lang w:val="en-NZ"/>
              </w:rPr>
              <w:t xml:space="preserve">hief </w:t>
            </w:r>
            <w:r>
              <w:rPr>
                <w:lang w:val="en-NZ"/>
              </w:rPr>
              <w:t>E</w:t>
            </w:r>
            <w:r w:rsidRPr="0062568B">
              <w:rPr>
                <w:lang w:val="en-NZ"/>
              </w:rPr>
              <w:t>xecutive to provide further information that they consider necessary to conduct the review.</w:t>
            </w:r>
          </w:p>
          <w:p w14:paraId="370B0F62" w14:textId="77777777" w:rsidR="000B4C4C" w:rsidRPr="0062568B" w:rsidRDefault="000B4C4C" w:rsidP="0043225C">
            <w:pPr>
              <w:pStyle w:val="TableParagraph"/>
              <w:tabs>
                <w:tab w:val="left" w:pos="849"/>
              </w:tabs>
              <w:spacing w:before="0" w:after="120" w:line="276" w:lineRule="auto"/>
              <w:ind w:left="0"/>
              <w:jc w:val="both"/>
              <w:rPr>
                <w:lang w:val="en-NZ"/>
              </w:rPr>
            </w:pPr>
          </w:p>
        </w:tc>
      </w:tr>
      <w:tr w:rsidR="000B4C4C" w:rsidRPr="0062568B" w14:paraId="6610D5BB" w14:textId="77777777" w:rsidTr="0F91F30C">
        <w:trPr>
          <w:trHeight w:val="553"/>
        </w:trPr>
        <w:tc>
          <w:tcPr>
            <w:tcW w:w="2127" w:type="dxa"/>
          </w:tcPr>
          <w:p w14:paraId="1B64A1AD" w14:textId="77777777" w:rsidR="000B4C4C" w:rsidRPr="0062568B" w:rsidRDefault="000B4C4C" w:rsidP="0043225C">
            <w:pPr>
              <w:pStyle w:val="TableParagraph"/>
              <w:jc w:val="both"/>
              <w:rPr>
                <w:b/>
                <w:bCs/>
                <w:lang w:val="en-NZ"/>
              </w:rPr>
            </w:pPr>
            <w:r w:rsidRPr="0062568B">
              <w:rPr>
                <w:b/>
                <w:spacing w:val="-2"/>
                <w:lang w:val="en-NZ"/>
              </w:rPr>
              <w:t>Competencies</w:t>
            </w:r>
          </w:p>
        </w:tc>
        <w:tc>
          <w:tcPr>
            <w:tcW w:w="7513" w:type="dxa"/>
          </w:tcPr>
          <w:p w14:paraId="7E9B2C4E" w14:textId="77777777" w:rsidR="000B4C4C" w:rsidRPr="0062568B" w:rsidRDefault="000B4C4C" w:rsidP="007A4E12">
            <w:pPr>
              <w:pStyle w:val="TableParagraph"/>
              <w:spacing w:before="158"/>
              <w:ind w:right="140"/>
              <w:jc w:val="both"/>
              <w:rPr>
                <w:bCs/>
                <w:i/>
                <w:lang w:val="en-NZ"/>
              </w:rPr>
            </w:pPr>
            <w:r w:rsidRPr="0062568B">
              <w:rPr>
                <w:bCs/>
                <w:iCs/>
                <w:lang w:val="en-NZ"/>
              </w:rPr>
              <w:t>The Review Committee ha</w:t>
            </w:r>
            <w:r>
              <w:rPr>
                <w:bCs/>
                <w:iCs/>
                <w:lang w:val="en-NZ"/>
              </w:rPr>
              <w:t>s</w:t>
            </w:r>
            <w:r w:rsidRPr="0062568B">
              <w:rPr>
                <w:bCs/>
                <w:iCs/>
                <w:lang w:val="en-NZ"/>
              </w:rPr>
              <w:t xml:space="preserve"> an important role to provide an independent </w:t>
            </w:r>
            <w:r w:rsidRPr="0062568B">
              <w:rPr>
                <w:bCs/>
                <w:iCs/>
                <w:lang w:val="en-NZ"/>
              </w:rPr>
              <w:lastRenderedPageBreak/>
              <w:t xml:space="preserve">review of licensing decision made by </w:t>
            </w:r>
            <w:r>
              <w:rPr>
                <w:bCs/>
                <w:iCs/>
                <w:lang w:val="en-NZ"/>
              </w:rPr>
              <w:t xml:space="preserve">the </w:t>
            </w:r>
            <w:r w:rsidRPr="0062568B">
              <w:rPr>
                <w:bCs/>
                <w:iCs/>
                <w:lang w:val="en-NZ"/>
              </w:rPr>
              <w:t xml:space="preserve">Firearms Safety and Education New Zealand. </w:t>
            </w:r>
          </w:p>
          <w:p w14:paraId="21FFB0F6" w14:textId="77777777" w:rsidR="000B4C4C" w:rsidRPr="0062568B" w:rsidRDefault="000B4C4C" w:rsidP="0043225C">
            <w:pPr>
              <w:pStyle w:val="TableParagraph"/>
              <w:keepNext/>
              <w:spacing w:before="158"/>
              <w:ind w:left="108"/>
              <w:jc w:val="both"/>
              <w:rPr>
                <w:bCs/>
                <w:i/>
                <w:lang w:val="en-NZ"/>
              </w:rPr>
            </w:pPr>
            <w:r w:rsidRPr="0062568B">
              <w:rPr>
                <w:bCs/>
                <w:i/>
                <w:lang w:val="en-NZ"/>
              </w:rPr>
              <w:t>All Review Committee members should demonstrate:</w:t>
            </w:r>
          </w:p>
          <w:p w14:paraId="69349452" w14:textId="77777777" w:rsidR="000B4C4C" w:rsidRPr="0062568B" w:rsidRDefault="000B4C4C" w:rsidP="0043225C">
            <w:pPr>
              <w:pStyle w:val="TableParagraph"/>
              <w:spacing w:before="158"/>
              <w:jc w:val="both"/>
              <w:rPr>
                <w:b/>
                <w:i/>
                <w:lang w:val="en-NZ"/>
              </w:rPr>
            </w:pPr>
            <w:r w:rsidRPr="0062568B">
              <w:rPr>
                <w:b/>
                <w:i/>
                <w:lang w:val="en-NZ"/>
              </w:rPr>
              <w:t>Knowledge</w:t>
            </w:r>
            <w:r w:rsidRPr="0062568B">
              <w:rPr>
                <w:b/>
                <w:i/>
                <w:spacing w:val="-5"/>
                <w:lang w:val="en-NZ"/>
              </w:rPr>
              <w:t xml:space="preserve"> </w:t>
            </w:r>
            <w:r w:rsidRPr="0062568B">
              <w:rPr>
                <w:b/>
                <w:i/>
                <w:lang w:val="en-NZ"/>
              </w:rPr>
              <w:t>and</w:t>
            </w:r>
            <w:r w:rsidRPr="0062568B">
              <w:rPr>
                <w:b/>
                <w:i/>
                <w:spacing w:val="-2"/>
                <w:lang w:val="en-NZ"/>
              </w:rPr>
              <w:t xml:space="preserve"> experience</w:t>
            </w:r>
          </w:p>
          <w:p w14:paraId="2BD0186A" w14:textId="77777777" w:rsidR="00377DA2" w:rsidRPr="000B4C4C" w:rsidRDefault="00377DA2" w:rsidP="00377DA2">
            <w:pPr>
              <w:pStyle w:val="TableParagraph"/>
              <w:numPr>
                <w:ilvl w:val="0"/>
                <w:numId w:val="1"/>
              </w:numPr>
              <w:tabs>
                <w:tab w:val="left" w:pos="467"/>
              </w:tabs>
              <w:spacing w:line="276" w:lineRule="auto"/>
              <w:ind w:right="119"/>
              <w:jc w:val="both"/>
              <w:rPr>
                <w:lang w:val="en-NZ"/>
              </w:rPr>
            </w:pPr>
            <w:r>
              <w:t>Knowledge of, and experience with, firearms.</w:t>
            </w:r>
          </w:p>
          <w:p w14:paraId="212B0E85"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 xml:space="preserve">A sound understanding of the legal systems or judicial review. </w:t>
            </w:r>
          </w:p>
          <w:p w14:paraId="0BD8BA0B"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Experience in a decision-making role and/or in working within a statutory framework.</w:t>
            </w:r>
          </w:p>
          <w:p w14:paraId="1465F48B"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Broad knowledge and understanding of legal, advocacy or dispute resolution.</w:t>
            </w:r>
          </w:p>
          <w:p w14:paraId="266322FB"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Knowledge or expertise of the firearms licensing system and the Arms Act, which may include experience, knowledge or expertise in the community.</w:t>
            </w:r>
          </w:p>
          <w:p w14:paraId="4441D0A6" w14:textId="77777777" w:rsidR="000B4C4C" w:rsidRPr="000B4C4C"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Knowledge and experience in the handling of sensitive information</w:t>
            </w:r>
            <w:r>
              <w:t>.</w:t>
            </w:r>
          </w:p>
          <w:p w14:paraId="3EBD91CB" w14:textId="77777777" w:rsidR="000B4C4C" w:rsidRPr="000B4C4C" w:rsidRDefault="000B4C4C" w:rsidP="000B4C4C">
            <w:pPr>
              <w:pStyle w:val="TableParagraph"/>
              <w:tabs>
                <w:tab w:val="left" w:pos="467"/>
              </w:tabs>
              <w:spacing w:before="0"/>
              <w:ind w:left="108" w:right="119"/>
              <w:jc w:val="both"/>
              <w:rPr>
                <w:lang w:val="en-NZ"/>
              </w:rPr>
            </w:pPr>
          </w:p>
          <w:p w14:paraId="6EED0721" w14:textId="77777777" w:rsidR="000B4C4C" w:rsidRPr="0062568B" w:rsidRDefault="000B4C4C" w:rsidP="000B4C4C">
            <w:pPr>
              <w:pStyle w:val="TableParagraph"/>
              <w:spacing w:before="0"/>
              <w:ind w:left="108"/>
              <w:jc w:val="both"/>
              <w:rPr>
                <w:b/>
                <w:bCs/>
                <w:i/>
                <w:iCs/>
                <w:lang w:val="en-NZ"/>
              </w:rPr>
            </w:pPr>
            <w:r w:rsidRPr="0062568B">
              <w:rPr>
                <w:b/>
                <w:bCs/>
                <w:i/>
                <w:iCs/>
                <w:lang w:val="en-NZ"/>
              </w:rPr>
              <w:t>Skills</w:t>
            </w:r>
            <w:r w:rsidRPr="0062568B">
              <w:rPr>
                <w:b/>
                <w:bCs/>
                <w:i/>
                <w:iCs/>
                <w:spacing w:val="-4"/>
                <w:lang w:val="en-NZ"/>
              </w:rPr>
              <w:t xml:space="preserve"> </w:t>
            </w:r>
            <w:r w:rsidRPr="0062568B">
              <w:rPr>
                <w:b/>
                <w:bCs/>
                <w:i/>
                <w:iCs/>
                <w:lang w:val="en-NZ"/>
              </w:rPr>
              <w:t>and</w:t>
            </w:r>
            <w:r w:rsidRPr="0062568B">
              <w:rPr>
                <w:b/>
                <w:bCs/>
                <w:i/>
                <w:iCs/>
                <w:spacing w:val="-1"/>
                <w:lang w:val="en-NZ"/>
              </w:rPr>
              <w:t xml:space="preserve"> </w:t>
            </w:r>
            <w:r w:rsidRPr="0062568B">
              <w:rPr>
                <w:b/>
                <w:bCs/>
                <w:i/>
                <w:iCs/>
                <w:spacing w:val="-2"/>
                <w:lang w:val="en-NZ"/>
              </w:rPr>
              <w:t>attributes</w:t>
            </w:r>
          </w:p>
          <w:p w14:paraId="16376FB5"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Career</w:t>
            </w:r>
            <w:r w:rsidRPr="0062568B">
              <w:rPr>
                <w:spacing w:val="-5"/>
                <w:lang w:val="en-NZ"/>
              </w:rPr>
              <w:t xml:space="preserve"> </w:t>
            </w:r>
            <w:r w:rsidRPr="0062568B">
              <w:rPr>
                <w:lang w:val="en-NZ"/>
              </w:rPr>
              <w:t>experience that reflects good judgement, integrity and impartiality.</w:t>
            </w:r>
          </w:p>
          <w:p w14:paraId="67C529D3"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Pr>
                <w:lang w:val="en-NZ"/>
              </w:rPr>
              <w:t>A</w:t>
            </w:r>
            <w:r w:rsidRPr="0062568B">
              <w:rPr>
                <w:lang w:val="en-NZ"/>
              </w:rPr>
              <w:t>bility to work as part of a team.</w:t>
            </w:r>
          </w:p>
          <w:p w14:paraId="11E270E7" w14:textId="7B363CC7" w:rsidR="000B4C4C" w:rsidRPr="0062568B" w:rsidRDefault="000B4C4C" w:rsidP="000B4C4C">
            <w:pPr>
              <w:pStyle w:val="TableParagraph"/>
              <w:numPr>
                <w:ilvl w:val="0"/>
                <w:numId w:val="1"/>
              </w:numPr>
              <w:tabs>
                <w:tab w:val="left" w:pos="467"/>
              </w:tabs>
              <w:spacing w:line="276" w:lineRule="auto"/>
              <w:ind w:right="119"/>
              <w:jc w:val="both"/>
              <w:rPr>
                <w:lang w:val="en-NZ"/>
              </w:rPr>
            </w:pPr>
            <w:r>
              <w:rPr>
                <w:lang w:val="en-NZ"/>
              </w:rPr>
              <w:t>Familiarity</w:t>
            </w:r>
            <w:r w:rsidRPr="0062568B">
              <w:rPr>
                <w:lang w:val="en-NZ"/>
              </w:rPr>
              <w:t xml:space="preserve"> with the independ</w:t>
            </w:r>
            <w:r w:rsidR="0011755D">
              <w:rPr>
                <w:lang w:val="en-NZ"/>
              </w:rPr>
              <w:t>ent decision-making processes</w:t>
            </w:r>
            <w:r w:rsidRPr="0062568B">
              <w:rPr>
                <w:lang w:val="en-NZ"/>
              </w:rPr>
              <w:t xml:space="preserve">, and </w:t>
            </w:r>
            <w:r w:rsidR="0011755D">
              <w:rPr>
                <w:lang w:val="en-NZ"/>
              </w:rPr>
              <w:t xml:space="preserve">the </w:t>
            </w:r>
            <w:r>
              <w:rPr>
                <w:lang w:val="en-NZ"/>
              </w:rPr>
              <w:t xml:space="preserve">ability </w:t>
            </w:r>
            <w:r w:rsidRPr="0062568B">
              <w:rPr>
                <w:lang w:val="en-NZ"/>
              </w:rPr>
              <w:t>to make consistent and unbiased decisions.</w:t>
            </w:r>
          </w:p>
          <w:p w14:paraId="3711FAF3"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Pr>
                <w:lang w:val="en-NZ"/>
              </w:rPr>
              <w:t xml:space="preserve">Ability to </w:t>
            </w:r>
            <w:r w:rsidRPr="0062568B">
              <w:rPr>
                <w:lang w:val="en-NZ"/>
              </w:rPr>
              <w:t>perceive conflict of interest</w:t>
            </w:r>
            <w:r>
              <w:rPr>
                <w:lang w:val="en-NZ"/>
              </w:rPr>
              <w:t>s</w:t>
            </w:r>
            <w:r w:rsidRPr="0062568B">
              <w:rPr>
                <w:lang w:val="en-NZ"/>
              </w:rPr>
              <w:t xml:space="preserve"> that may arise because of previous or present business and personal relationships</w:t>
            </w:r>
          </w:p>
          <w:p w14:paraId="47D51C7C" w14:textId="582C822F" w:rsidR="000B4C4C" w:rsidRPr="0062568B" w:rsidRDefault="000B4C4C" w:rsidP="000B4C4C">
            <w:pPr>
              <w:pStyle w:val="TableParagraph"/>
              <w:numPr>
                <w:ilvl w:val="0"/>
                <w:numId w:val="1"/>
              </w:numPr>
              <w:tabs>
                <w:tab w:val="left" w:pos="467"/>
              </w:tabs>
              <w:spacing w:line="276" w:lineRule="auto"/>
              <w:ind w:right="119"/>
              <w:jc w:val="both"/>
              <w:rPr>
                <w:sz w:val="23"/>
                <w:szCs w:val="23"/>
                <w:lang w:val="en-NZ"/>
              </w:rPr>
            </w:pPr>
            <w:r>
              <w:rPr>
                <w:lang w:val="en-NZ"/>
              </w:rPr>
              <w:t xml:space="preserve">Ability </w:t>
            </w:r>
            <w:r w:rsidRPr="0062568B">
              <w:rPr>
                <w:lang w:val="en-NZ"/>
              </w:rPr>
              <w:t>to quickly bring together a mass of information, assess the facts and make consistent decisio</w:t>
            </w:r>
            <w:r w:rsidR="0011755D">
              <w:rPr>
                <w:lang w:val="en-NZ"/>
              </w:rPr>
              <w:t>ns.</w:t>
            </w:r>
          </w:p>
          <w:p w14:paraId="55B2A394" w14:textId="77777777" w:rsidR="000B4C4C" w:rsidRDefault="000B4C4C" w:rsidP="00376308">
            <w:pPr>
              <w:numPr>
                <w:ilvl w:val="0"/>
                <w:numId w:val="1"/>
              </w:numPr>
              <w:spacing w:after="0" w:line="240" w:lineRule="auto"/>
              <w:ind w:right="140"/>
              <w:jc w:val="both"/>
              <w:rPr>
                <w:rFonts w:ascii="Arial" w:eastAsia="Arial" w:hAnsi="Arial" w:cs="Arial"/>
                <w:sz w:val="22"/>
                <w:szCs w:val="22"/>
                <w:lang w:val="en-NZ"/>
              </w:rPr>
            </w:pPr>
            <w:r w:rsidRPr="0062568B">
              <w:rPr>
                <w:rFonts w:ascii="Arial" w:eastAsia="Arial" w:hAnsi="Arial" w:cs="Arial"/>
                <w:sz w:val="22"/>
                <w:szCs w:val="22"/>
                <w:lang w:val="en-NZ"/>
              </w:rPr>
              <w:t>Competence in written communication is essential. Review Committee members need to be able to write clearly and precisely.</w:t>
            </w:r>
          </w:p>
          <w:p w14:paraId="413A3923" w14:textId="77777777" w:rsidR="000B4C4C" w:rsidRDefault="000B4C4C" w:rsidP="0043225C">
            <w:pPr>
              <w:spacing w:after="0" w:line="240" w:lineRule="auto"/>
              <w:ind w:left="107"/>
              <w:jc w:val="both"/>
              <w:rPr>
                <w:rFonts w:ascii="Arial" w:eastAsia="Arial" w:hAnsi="Arial" w:cs="Arial"/>
                <w:sz w:val="22"/>
                <w:szCs w:val="22"/>
                <w:lang w:val="en-NZ"/>
              </w:rPr>
            </w:pPr>
          </w:p>
          <w:p w14:paraId="71AEBB6B" w14:textId="77777777" w:rsidR="000B4C4C" w:rsidRPr="0062568B" w:rsidRDefault="000B4C4C" w:rsidP="0043225C">
            <w:pPr>
              <w:pStyle w:val="TableParagraph"/>
              <w:tabs>
                <w:tab w:val="left" w:pos="6802"/>
              </w:tabs>
              <w:spacing w:before="0" w:after="120"/>
              <w:jc w:val="both"/>
              <w:rPr>
                <w:b/>
                <w:i/>
                <w:lang w:val="en-NZ"/>
              </w:rPr>
            </w:pPr>
            <w:r w:rsidRPr="0062568B">
              <w:rPr>
                <w:b/>
                <w:i/>
                <w:lang w:val="en-NZ"/>
              </w:rPr>
              <w:t>Environmental</w:t>
            </w:r>
            <w:r w:rsidRPr="0062568B">
              <w:rPr>
                <w:b/>
                <w:i/>
                <w:spacing w:val="-7"/>
                <w:lang w:val="en-NZ"/>
              </w:rPr>
              <w:t xml:space="preserve"> </w:t>
            </w:r>
            <w:r w:rsidRPr="0062568B">
              <w:rPr>
                <w:b/>
                <w:i/>
                <w:spacing w:val="-2"/>
                <w:lang w:val="en-NZ"/>
              </w:rPr>
              <w:t>awareness</w:t>
            </w:r>
          </w:p>
          <w:p w14:paraId="5758F18E"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The judgement and discretion required to maintain the autonomy and independence essential to the Committee.</w:t>
            </w:r>
          </w:p>
          <w:p w14:paraId="0A37ADD4"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The ability to maintain confidentiality and deal appropriately with sensitive information.</w:t>
            </w:r>
          </w:p>
          <w:p w14:paraId="15145E4F" w14:textId="4C54B05C"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Ability to identify and analyse a broad range of information to determine a</w:t>
            </w:r>
            <w:r w:rsidR="00B31602">
              <w:rPr>
                <w:lang w:val="en-NZ"/>
              </w:rPr>
              <w:t xml:space="preserve">n individual’s </w:t>
            </w:r>
            <w:r w:rsidRPr="0062568B">
              <w:rPr>
                <w:lang w:val="en-NZ"/>
              </w:rPr>
              <w:t xml:space="preserve">character. </w:t>
            </w:r>
          </w:p>
          <w:p w14:paraId="4972AA55" w14:textId="77777777"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Sensitivity to and understanding of different cultures’ values and experiences.</w:t>
            </w:r>
          </w:p>
          <w:p w14:paraId="4EFD4A1B" w14:textId="77777777" w:rsidR="000B4C4C" w:rsidRPr="00610CA4" w:rsidRDefault="000B4C4C" w:rsidP="000B4C4C">
            <w:pPr>
              <w:pStyle w:val="TableParagraph"/>
              <w:numPr>
                <w:ilvl w:val="0"/>
                <w:numId w:val="1"/>
              </w:numPr>
              <w:tabs>
                <w:tab w:val="left" w:pos="467"/>
              </w:tabs>
              <w:spacing w:after="120" w:line="276" w:lineRule="auto"/>
              <w:ind w:left="465" w:right="119" w:hanging="357"/>
              <w:jc w:val="both"/>
              <w:rPr>
                <w:lang w:val="en-NZ"/>
              </w:rPr>
            </w:pPr>
            <w:r w:rsidRPr="0062568B">
              <w:rPr>
                <w:lang w:val="en-NZ"/>
              </w:rPr>
              <w:t>Ability to withstand</w:t>
            </w:r>
            <w:r w:rsidRPr="00B02257">
              <w:rPr>
                <w:lang w:val="en-NZ"/>
              </w:rPr>
              <w:t xml:space="preserve"> </w:t>
            </w:r>
            <w:r w:rsidRPr="0062568B">
              <w:rPr>
                <w:lang w:val="en-NZ"/>
              </w:rPr>
              <w:t>potential</w:t>
            </w:r>
            <w:r w:rsidRPr="00B02257">
              <w:rPr>
                <w:lang w:val="en-NZ"/>
              </w:rPr>
              <w:t xml:space="preserve"> </w:t>
            </w:r>
            <w:r w:rsidRPr="0062568B">
              <w:rPr>
                <w:lang w:val="en-NZ"/>
              </w:rPr>
              <w:t>public</w:t>
            </w:r>
            <w:r w:rsidRPr="00B02257">
              <w:rPr>
                <w:lang w:val="en-NZ"/>
              </w:rPr>
              <w:t xml:space="preserve"> scrutiny.</w:t>
            </w:r>
          </w:p>
        </w:tc>
      </w:tr>
      <w:tr w:rsidR="000B4C4C" w:rsidRPr="0062568B" w14:paraId="16E68A2F" w14:textId="77777777" w:rsidTr="0F91F30C">
        <w:trPr>
          <w:trHeight w:val="553"/>
        </w:trPr>
        <w:tc>
          <w:tcPr>
            <w:tcW w:w="2127" w:type="dxa"/>
          </w:tcPr>
          <w:p w14:paraId="2EE464AA" w14:textId="77777777" w:rsidR="000B4C4C" w:rsidRPr="0062568B" w:rsidRDefault="000B4C4C" w:rsidP="0043225C">
            <w:pPr>
              <w:pStyle w:val="TableParagraph"/>
              <w:rPr>
                <w:b/>
                <w:spacing w:val="-2"/>
                <w:lang w:val="en-NZ"/>
              </w:rPr>
            </w:pPr>
            <w:r w:rsidRPr="0062568B">
              <w:rPr>
                <w:b/>
                <w:bCs/>
                <w:lang w:val="en-NZ"/>
              </w:rPr>
              <w:lastRenderedPageBreak/>
              <w:t>Additional competencies for Chair</w:t>
            </w:r>
          </w:p>
        </w:tc>
        <w:tc>
          <w:tcPr>
            <w:tcW w:w="7513" w:type="dxa"/>
          </w:tcPr>
          <w:p w14:paraId="0AF69FA8" w14:textId="77777777" w:rsidR="000B4C4C" w:rsidRPr="0062568B" w:rsidRDefault="000B4C4C" w:rsidP="0043225C">
            <w:pPr>
              <w:pStyle w:val="CabStandard"/>
              <w:numPr>
                <w:ilvl w:val="0"/>
                <w:numId w:val="0"/>
              </w:numPr>
              <w:spacing w:before="120" w:after="0" w:line="276" w:lineRule="auto"/>
              <w:ind w:left="140" w:right="132"/>
              <w:jc w:val="both"/>
              <w:rPr>
                <w:rFonts w:ascii="Arial" w:hAnsi="Arial" w:cs="Arial"/>
                <w:snapToGrid w:val="0"/>
                <w:sz w:val="22"/>
                <w:szCs w:val="22"/>
                <w:lang w:val="en-NZ" w:eastAsia="en-US"/>
              </w:rPr>
            </w:pPr>
            <w:r w:rsidRPr="007B248D">
              <w:rPr>
                <w:rFonts w:ascii="Arial" w:hAnsi="Arial" w:cs="Arial"/>
                <w:sz w:val="22"/>
                <w:szCs w:val="22"/>
                <w:lang w:val="en-NZ"/>
              </w:rPr>
              <w:t xml:space="preserve">The Chair is not required to come from a specific membership group, or to hold any </w:t>
            </w:r>
            <w:proofErr w:type="gramStart"/>
            <w:r w:rsidRPr="007B248D">
              <w:rPr>
                <w:rFonts w:ascii="Arial" w:hAnsi="Arial" w:cs="Arial"/>
                <w:sz w:val="22"/>
                <w:szCs w:val="22"/>
                <w:lang w:val="en-NZ"/>
              </w:rPr>
              <w:t>particular qualification</w:t>
            </w:r>
            <w:proofErr w:type="gramEnd"/>
            <w:r w:rsidRPr="007B248D">
              <w:rPr>
                <w:rFonts w:ascii="Arial" w:hAnsi="Arial" w:cs="Arial"/>
                <w:sz w:val="22"/>
                <w:szCs w:val="22"/>
                <w:lang w:val="en-NZ"/>
              </w:rPr>
              <w:t>. But the role requires leadership on highly complex legal issues. The Chair will need:</w:t>
            </w:r>
          </w:p>
          <w:p w14:paraId="3257B7F7" w14:textId="77777777" w:rsidR="000B4C4C" w:rsidRPr="0062568B" w:rsidRDefault="000B4C4C" w:rsidP="000B4C4C">
            <w:pPr>
              <w:pStyle w:val="TableParagraph"/>
              <w:numPr>
                <w:ilvl w:val="0"/>
                <w:numId w:val="1"/>
              </w:numPr>
              <w:tabs>
                <w:tab w:val="left" w:pos="467"/>
              </w:tabs>
              <w:spacing w:line="276" w:lineRule="auto"/>
              <w:ind w:right="119"/>
              <w:jc w:val="both"/>
              <w:rPr>
                <w:snapToGrid w:val="0"/>
                <w:lang w:val="en-NZ"/>
              </w:rPr>
            </w:pPr>
            <w:r w:rsidRPr="0062568B">
              <w:rPr>
                <w:lang w:val="en-NZ"/>
              </w:rPr>
              <w:t>Career experience at a senior level reflecting excellent judgement, integrity, and impartiality</w:t>
            </w:r>
            <w:r w:rsidRPr="0062568B">
              <w:rPr>
                <w:snapToGrid w:val="0"/>
                <w:lang w:val="en-NZ"/>
              </w:rPr>
              <w:t>.</w:t>
            </w:r>
          </w:p>
          <w:p w14:paraId="6A394097" w14:textId="77777777" w:rsidR="000B4C4C" w:rsidRPr="0062568B" w:rsidRDefault="000B4C4C" w:rsidP="000B4C4C">
            <w:pPr>
              <w:pStyle w:val="TableParagraph"/>
              <w:numPr>
                <w:ilvl w:val="0"/>
                <w:numId w:val="1"/>
              </w:numPr>
              <w:tabs>
                <w:tab w:val="left" w:pos="467"/>
              </w:tabs>
              <w:spacing w:line="276" w:lineRule="auto"/>
              <w:ind w:right="119"/>
              <w:jc w:val="both"/>
              <w:rPr>
                <w:bCs/>
                <w:lang w:val="en-NZ"/>
              </w:rPr>
            </w:pPr>
            <w:r w:rsidRPr="0062568B">
              <w:rPr>
                <w:bCs/>
                <w:lang w:val="en-NZ"/>
              </w:rPr>
              <w:t>Recent experience working in a decision-making role</w:t>
            </w:r>
            <w:r>
              <w:rPr>
                <w:bCs/>
                <w:lang w:val="en-NZ"/>
              </w:rPr>
              <w:t>.</w:t>
            </w:r>
            <w:r w:rsidRPr="0062568B">
              <w:rPr>
                <w:bCs/>
                <w:lang w:val="en-NZ"/>
              </w:rPr>
              <w:t xml:space="preserve"> </w:t>
            </w:r>
          </w:p>
          <w:p w14:paraId="316FD419" w14:textId="77777777" w:rsidR="000B4C4C" w:rsidRPr="0062568B" w:rsidRDefault="000B4C4C" w:rsidP="000B4C4C">
            <w:pPr>
              <w:pStyle w:val="TableParagraph"/>
              <w:numPr>
                <w:ilvl w:val="0"/>
                <w:numId w:val="1"/>
              </w:numPr>
              <w:tabs>
                <w:tab w:val="left" w:pos="467"/>
              </w:tabs>
              <w:spacing w:line="276" w:lineRule="auto"/>
              <w:ind w:right="119"/>
              <w:jc w:val="both"/>
              <w:rPr>
                <w:bCs/>
                <w:lang w:val="en-NZ"/>
              </w:rPr>
            </w:pPr>
            <w:r w:rsidRPr="0062568B">
              <w:rPr>
                <w:bCs/>
                <w:lang w:val="en-NZ"/>
              </w:rPr>
              <w:t>In-depth understanding of review procedures and practices.</w:t>
            </w:r>
          </w:p>
          <w:p w14:paraId="2A28847F" w14:textId="2E07B165" w:rsidR="000B4C4C" w:rsidRPr="0062568B"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The ability to provide vision and strategic leadership, and to set clear policies and priorities.</w:t>
            </w:r>
          </w:p>
          <w:p w14:paraId="6F6FC590" w14:textId="77777777" w:rsidR="000B4C4C" w:rsidRDefault="000B4C4C" w:rsidP="000B4C4C">
            <w:pPr>
              <w:pStyle w:val="TableParagraph"/>
              <w:numPr>
                <w:ilvl w:val="0"/>
                <w:numId w:val="1"/>
              </w:numPr>
              <w:tabs>
                <w:tab w:val="left" w:pos="467"/>
              </w:tabs>
              <w:spacing w:line="276" w:lineRule="auto"/>
              <w:ind w:right="119"/>
              <w:jc w:val="both"/>
              <w:rPr>
                <w:lang w:val="en-NZ"/>
              </w:rPr>
            </w:pPr>
            <w:r w:rsidRPr="0062568B">
              <w:rPr>
                <w:lang w:val="en-NZ"/>
              </w:rPr>
              <w:t>An understanding of good management practices and the ability to articulate organisational goals and objectives</w:t>
            </w:r>
            <w:r>
              <w:rPr>
                <w:lang w:val="en-NZ"/>
              </w:rPr>
              <w:t>.</w:t>
            </w:r>
          </w:p>
          <w:p w14:paraId="5B078CAC" w14:textId="58D0A78C" w:rsidR="000B4C4C" w:rsidRPr="000B4C4C" w:rsidRDefault="000B4C4C" w:rsidP="000B4C4C">
            <w:pPr>
              <w:pStyle w:val="TableParagraph"/>
              <w:numPr>
                <w:ilvl w:val="0"/>
                <w:numId w:val="1"/>
              </w:numPr>
              <w:tabs>
                <w:tab w:val="left" w:pos="467"/>
              </w:tabs>
              <w:spacing w:line="276" w:lineRule="auto"/>
              <w:ind w:right="119"/>
              <w:jc w:val="both"/>
              <w:rPr>
                <w:lang w:val="en-NZ"/>
              </w:rPr>
            </w:pPr>
            <w:r>
              <w:t>Knowledge of, and recent experience with, firearms.</w:t>
            </w:r>
          </w:p>
          <w:p w14:paraId="2DFB25D1" w14:textId="782D4149" w:rsidR="000B4C4C" w:rsidRPr="0062568B" w:rsidRDefault="000B4C4C" w:rsidP="00FF3F4E">
            <w:pPr>
              <w:pStyle w:val="TableParagraph"/>
              <w:numPr>
                <w:ilvl w:val="0"/>
                <w:numId w:val="1"/>
              </w:numPr>
              <w:tabs>
                <w:tab w:val="left" w:pos="467"/>
              </w:tabs>
              <w:spacing w:line="276" w:lineRule="auto"/>
              <w:ind w:right="119"/>
              <w:jc w:val="both"/>
              <w:rPr>
                <w:bCs/>
                <w:iCs/>
                <w:lang w:val="en-NZ"/>
              </w:rPr>
            </w:pPr>
            <w:r w:rsidRPr="0062568B">
              <w:rPr>
                <w:lang w:val="en-NZ"/>
              </w:rPr>
              <w:t>The ability to establish and maintain constructive relationships at all levels both externally and internally.</w:t>
            </w:r>
          </w:p>
        </w:tc>
      </w:tr>
      <w:tr w:rsidR="000B4C4C" w:rsidRPr="0062568B" w14:paraId="26C5B925" w14:textId="77777777" w:rsidTr="0F91F30C">
        <w:trPr>
          <w:trHeight w:val="553"/>
        </w:trPr>
        <w:tc>
          <w:tcPr>
            <w:tcW w:w="2127" w:type="dxa"/>
          </w:tcPr>
          <w:p w14:paraId="254FFCF3" w14:textId="77777777" w:rsidR="000B4C4C" w:rsidRPr="0062568B" w:rsidRDefault="000B4C4C" w:rsidP="0043225C">
            <w:pPr>
              <w:pStyle w:val="TableParagraph"/>
              <w:spacing w:after="120"/>
              <w:ind w:left="108"/>
              <w:rPr>
                <w:b/>
                <w:bCs/>
                <w:lang w:val="en-NZ"/>
              </w:rPr>
            </w:pPr>
            <w:r w:rsidRPr="0062568B">
              <w:rPr>
                <w:b/>
                <w:bCs/>
                <w:lang w:val="en-NZ"/>
              </w:rPr>
              <w:t>Conflicts of interest</w:t>
            </w:r>
          </w:p>
        </w:tc>
        <w:tc>
          <w:tcPr>
            <w:tcW w:w="7513" w:type="dxa"/>
          </w:tcPr>
          <w:p w14:paraId="08A7C1E2" w14:textId="77777777" w:rsidR="000B4C4C" w:rsidRPr="007B248D" w:rsidRDefault="000B4C4C" w:rsidP="0043225C">
            <w:pPr>
              <w:pStyle w:val="TableParagraph"/>
              <w:spacing w:after="120" w:line="276" w:lineRule="auto"/>
              <w:ind w:left="108" w:right="176"/>
              <w:jc w:val="both"/>
              <w:rPr>
                <w:lang w:val="en-NZ"/>
              </w:rPr>
            </w:pPr>
            <w:r w:rsidRPr="0062568B">
              <w:rPr>
                <w:lang w:val="en-NZ"/>
              </w:rPr>
              <w:t xml:space="preserve">Members must declare to the </w:t>
            </w:r>
            <w:r>
              <w:rPr>
                <w:lang w:val="en-NZ"/>
              </w:rPr>
              <w:t>C</w:t>
            </w:r>
            <w:r w:rsidRPr="0062568B">
              <w:rPr>
                <w:lang w:val="en-NZ"/>
              </w:rPr>
              <w:t xml:space="preserve">hief </w:t>
            </w:r>
            <w:r>
              <w:rPr>
                <w:lang w:val="en-NZ"/>
              </w:rPr>
              <w:t>E</w:t>
            </w:r>
            <w:r w:rsidRPr="0062568B">
              <w:rPr>
                <w:lang w:val="en-NZ"/>
              </w:rPr>
              <w:t>xecutive any associations which might give rise to a conflict of interest and must decline to consider the review.</w:t>
            </w:r>
          </w:p>
        </w:tc>
      </w:tr>
    </w:tbl>
    <w:p w14:paraId="57618A29" w14:textId="77777777" w:rsidR="0072654F" w:rsidRDefault="0072654F" w:rsidP="000B4C4C"/>
    <w:sectPr w:rsidR="00726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C5BCC"/>
    <w:multiLevelType w:val="multilevel"/>
    <w:tmpl w:val="9A5C5D4A"/>
    <w:lvl w:ilvl="0">
      <w:start w:val="1"/>
      <w:numFmt w:val="decimal"/>
      <w:pStyle w:val="CabStandard"/>
      <w:lvlText w:val="%1"/>
      <w:lvlJc w:val="left"/>
      <w:pPr>
        <w:tabs>
          <w:tab w:val="num" w:pos="720"/>
        </w:tabs>
        <w:ind w:left="720" w:hanging="720"/>
      </w:pPr>
      <w:rPr>
        <w:rFonts w:ascii="Arial" w:hAnsi="Arial" w:cs="Arial" w:hint="default"/>
        <w:b w:val="0"/>
        <w:i w:val="0"/>
        <w:sz w:val="23"/>
        <w:szCs w:val="23"/>
      </w:rPr>
    </w:lvl>
    <w:lvl w:ilvl="1">
      <w:start w:val="1"/>
      <w:numFmt w:val="decimal"/>
      <w:lvlText w:val="%2."/>
      <w:lvlJc w:val="left"/>
      <w:pPr>
        <w:tabs>
          <w:tab w:val="num" w:pos="1571"/>
        </w:tabs>
        <w:ind w:left="1571" w:hanging="720"/>
      </w:pPr>
      <w:rPr>
        <w:sz w:val="23"/>
        <w:szCs w:val="23"/>
      </w:rPr>
    </w:lvl>
    <w:lvl w:ilvl="2">
      <w:start w:val="1"/>
      <w:numFmt w:val="decimal"/>
      <w:lvlText w:val="%1.%2.%3"/>
      <w:lvlJc w:val="left"/>
      <w:pPr>
        <w:tabs>
          <w:tab w:val="num" w:pos="2410"/>
        </w:tabs>
        <w:ind w:left="2410" w:hanging="970"/>
      </w:pPr>
    </w:lvl>
    <w:lvl w:ilvl="3">
      <w:start w:val="1"/>
      <w:numFmt w:val="decimal"/>
      <w:lvlText w:val="%1.%2.%3.%4"/>
      <w:lvlJc w:val="left"/>
      <w:pPr>
        <w:tabs>
          <w:tab w:val="num" w:pos="3572"/>
        </w:tabs>
        <w:ind w:left="3572" w:hanging="1162"/>
      </w:pPr>
    </w:lvl>
    <w:lvl w:ilvl="4">
      <w:start w:val="1"/>
      <w:numFmt w:val="decimal"/>
      <w:lvlText w:val="%1.%2.%3.%4.%5"/>
      <w:lvlJc w:val="left"/>
      <w:pPr>
        <w:tabs>
          <w:tab w:val="num" w:pos="4876"/>
        </w:tabs>
        <w:ind w:left="4876" w:hanging="1304"/>
      </w:pPr>
    </w:lvl>
    <w:lvl w:ilvl="5">
      <w:start w:val="1"/>
      <w:numFmt w:val="decimal"/>
      <w:lvlText w:val="(%6)"/>
      <w:lvlJc w:val="left"/>
      <w:pPr>
        <w:tabs>
          <w:tab w:val="num" w:pos="2160"/>
        </w:tabs>
        <w:ind w:left="2160" w:hanging="363"/>
      </w:pPr>
    </w:lvl>
    <w:lvl w:ilvl="6">
      <w:start w:val="1"/>
      <w:numFmt w:val="lowerRoman"/>
      <w:lvlText w:val="%7)"/>
      <w:lvlJc w:val="left"/>
      <w:pPr>
        <w:tabs>
          <w:tab w:val="num" w:pos="2880"/>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 w15:restartNumberingAfterBreak="0">
    <w:nsid w:val="5BD07A63"/>
    <w:multiLevelType w:val="hybridMultilevel"/>
    <w:tmpl w:val="06E2810E"/>
    <w:lvl w:ilvl="0" w:tplc="8138DC86">
      <w:numFmt w:val="bullet"/>
      <w:lvlText w:val=""/>
      <w:lvlJc w:val="left"/>
      <w:pPr>
        <w:ind w:left="464" w:hanging="358"/>
      </w:pPr>
      <w:rPr>
        <w:rFonts w:ascii="Symbol" w:eastAsia="Symbol" w:hAnsi="Symbol" w:cs="Symbol" w:hint="default"/>
        <w:b w:val="0"/>
        <w:bCs w:val="0"/>
        <w:i w:val="0"/>
        <w:iCs w:val="0"/>
        <w:spacing w:val="0"/>
        <w:w w:val="100"/>
        <w:sz w:val="22"/>
        <w:szCs w:val="22"/>
        <w:lang w:val="en-US" w:eastAsia="en-US" w:bidi="ar-SA"/>
      </w:rPr>
    </w:lvl>
    <w:lvl w:ilvl="1" w:tplc="A8649118">
      <w:numFmt w:val="bullet"/>
      <w:lvlText w:val="•"/>
      <w:lvlJc w:val="left"/>
      <w:pPr>
        <w:ind w:left="1116" w:hanging="358"/>
      </w:pPr>
      <w:rPr>
        <w:rFonts w:hint="default"/>
        <w:lang w:val="en-US" w:eastAsia="en-US" w:bidi="ar-SA"/>
      </w:rPr>
    </w:lvl>
    <w:lvl w:ilvl="2" w:tplc="BE2C2CA0">
      <w:numFmt w:val="bullet"/>
      <w:lvlText w:val="•"/>
      <w:lvlJc w:val="left"/>
      <w:pPr>
        <w:ind w:left="1773" w:hanging="358"/>
      </w:pPr>
      <w:rPr>
        <w:rFonts w:hint="default"/>
        <w:lang w:val="en-US" w:eastAsia="en-US" w:bidi="ar-SA"/>
      </w:rPr>
    </w:lvl>
    <w:lvl w:ilvl="3" w:tplc="6ECE3D96">
      <w:numFmt w:val="bullet"/>
      <w:lvlText w:val="•"/>
      <w:lvlJc w:val="left"/>
      <w:pPr>
        <w:ind w:left="2429" w:hanging="358"/>
      </w:pPr>
      <w:rPr>
        <w:rFonts w:hint="default"/>
        <w:lang w:val="en-US" w:eastAsia="en-US" w:bidi="ar-SA"/>
      </w:rPr>
    </w:lvl>
    <w:lvl w:ilvl="4" w:tplc="F9886DAE">
      <w:numFmt w:val="bullet"/>
      <w:lvlText w:val="•"/>
      <w:lvlJc w:val="left"/>
      <w:pPr>
        <w:ind w:left="3086" w:hanging="358"/>
      </w:pPr>
      <w:rPr>
        <w:rFonts w:hint="default"/>
        <w:lang w:val="en-US" w:eastAsia="en-US" w:bidi="ar-SA"/>
      </w:rPr>
    </w:lvl>
    <w:lvl w:ilvl="5" w:tplc="3D122FB2">
      <w:numFmt w:val="bullet"/>
      <w:lvlText w:val="•"/>
      <w:lvlJc w:val="left"/>
      <w:pPr>
        <w:ind w:left="3743" w:hanging="358"/>
      </w:pPr>
      <w:rPr>
        <w:rFonts w:hint="default"/>
        <w:lang w:val="en-US" w:eastAsia="en-US" w:bidi="ar-SA"/>
      </w:rPr>
    </w:lvl>
    <w:lvl w:ilvl="6" w:tplc="0CB82A20">
      <w:numFmt w:val="bullet"/>
      <w:lvlText w:val="•"/>
      <w:lvlJc w:val="left"/>
      <w:pPr>
        <w:ind w:left="4399" w:hanging="358"/>
      </w:pPr>
      <w:rPr>
        <w:rFonts w:hint="default"/>
        <w:lang w:val="en-US" w:eastAsia="en-US" w:bidi="ar-SA"/>
      </w:rPr>
    </w:lvl>
    <w:lvl w:ilvl="7" w:tplc="6BC60DE8">
      <w:numFmt w:val="bullet"/>
      <w:lvlText w:val="•"/>
      <w:lvlJc w:val="left"/>
      <w:pPr>
        <w:ind w:left="5056" w:hanging="358"/>
      </w:pPr>
      <w:rPr>
        <w:rFonts w:hint="default"/>
        <w:lang w:val="en-US" w:eastAsia="en-US" w:bidi="ar-SA"/>
      </w:rPr>
    </w:lvl>
    <w:lvl w:ilvl="8" w:tplc="C14E4700">
      <w:numFmt w:val="bullet"/>
      <w:lvlText w:val="•"/>
      <w:lvlJc w:val="left"/>
      <w:pPr>
        <w:ind w:left="5712" w:hanging="358"/>
      </w:pPr>
      <w:rPr>
        <w:rFonts w:hint="default"/>
        <w:lang w:val="en-US" w:eastAsia="en-US" w:bidi="ar-SA"/>
      </w:rPr>
    </w:lvl>
  </w:abstractNum>
  <w:abstractNum w:abstractNumId="2" w15:restartNumberingAfterBreak="0">
    <w:nsid w:val="5EA06A5D"/>
    <w:multiLevelType w:val="hybridMultilevel"/>
    <w:tmpl w:val="9724CDC6"/>
    <w:lvl w:ilvl="0" w:tplc="DA30E79E">
      <w:numFmt w:val="bullet"/>
      <w:lvlText w:val=""/>
      <w:lvlJc w:val="left"/>
      <w:pPr>
        <w:ind w:left="467" w:hanging="360"/>
      </w:pPr>
      <w:rPr>
        <w:rFonts w:ascii="Symbol" w:eastAsia="Symbol" w:hAnsi="Symbol" w:cs="Symbol" w:hint="default"/>
        <w:b w:val="0"/>
        <w:bCs w:val="0"/>
        <w:i w:val="0"/>
        <w:iCs w:val="0"/>
        <w:spacing w:val="0"/>
        <w:w w:val="100"/>
        <w:sz w:val="23"/>
        <w:szCs w:val="23"/>
        <w:lang w:val="en-US" w:eastAsia="en-US" w:bidi="ar-SA"/>
      </w:rPr>
    </w:lvl>
    <w:lvl w:ilvl="1" w:tplc="59185F1C">
      <w:numFmt w:val="bullet"/>
      <w:lvlText w:val=""/>
      <w:lvlJc w:val="left"/>
      <w:pPr>
        <w:ind w:left="827" w:hanging="360"/>
      </w:pPr>
      <w:rPr>
        <w:rFonts w:ascii="Symbol" w:eastAsia="Symbol" w:hAnsi="Symbol" w:cs="Symbol" w:hint="default"/>
        <w:b w:val="0"/>
        <w:bCs w:val="0"/>
        <w:i w:val="0"/>
        <w:iCs w:val="0"/>
        <w:spacing w:val="0"/>
        <w:w w:val="100"/>
        <w:sz w:val="23"/>
        <w:szCs w:val="23"/>
        <w:lang w:val="en-US" w:eastAsia="en-US" w:bidi="ar-SA"/>
      </w:rPr>
    </w:lvl>
    <w:lvl w:ilvl="2" w:tplc="4162B086">
      <w:numFmt w:val="bullet"/>
      <w:lvlText w:val="•"/>
      <w:lvlJc w:val="left"/>
      <w:pPr>
        <w:ind w:left="1509" w:hanging="360"/>
      </w:pPr>
      <w:rPr>
        <w:rFonts w:hint="default"/>
        <w:lang w:val="en-US" w:eastAsia="en-US" w:bidi="ar-SA"/>
      </w:rPr>
    </w:lvl>
    <w:lvl w:ilvl="3" w:tplc="7722B314">
      <w:numFmt w:val="bullet"/>
      <w:lvlText w:val="•"/>
      <w:lvlJc w:val="left"/>
      <w:pPr>
        <w:ind w:left="2199" w:hanging="360"/>
      </w:pPr>
      <w:rPr>
        <w:rFonts w:hint="default"/>
        <w:lang w:val="en-US" w:eastAsia="en-US" w:bidi="ar-SA"/>
      </w:rPr>
    </w:lvl>
    <w:lvl w:ilvl="4" w:tplc="9B4E9ED8">
      <w:numFmt w:val="bullet"/>
      <w:lvlText w:val="•"/>
      <w:lvlJc w:val="left"/>
      <w:pPr>
        <w:ind w:left="2888" w:hanging="360"/>
      </w:pPr>
      <w:rPr>
        <w:rFonts w:hint="default"/>
        <w:lang w:val="en-US" w:eastAsia="en-US" w:bidi="ar-SA"/>
      </w:rPr>
    </w:lvl>
    <w:lvl w:ilvl="5" w:tplc="73223D7E">
      <w:numFmt w:val="bullet"/>
      <w:lvlText w:val="•"/>
      <w:lvlJc w:val="left"/>
      <w:pPr>
        <w:ind w:left="3578" w:hanging="360"/>
      </w:pPr>
      <w:rPr>
        <w:rFonts w:hint="default"/>
        <w:lang w:val="en-US" w:eastAsia="en-US" w:bidi="ar-SA"/>
      </w:rPr>
    </w:lvl>
    <w:lvl w:ilvl="6" w:tplc="695662E8">
      <w:numFmt w:val="bullet"/>
      <w:lvlText w:val="•"/>
      <w:lvlJc w:val="left"/>
      <w:pPr>
        <w:ind w:left="4267" w:hanging="360"/>
      </w:pPr>
      <w:rPr>
        <w:rFonts w:hint="default"/>
        <w:lang w:val="en-US" w:eastAsia="en-US" w:bidi="ar-SA"/>
      </w:rPr>
    </w:lvl>
    <w:lvl w:ilvl="7" w:tplc="DFFC7006">
      <w:numFmt w:val="bullet"/>
      <w:lvlText w:val="•"/>
      <w:lvlJc w:val="left"/>
      <w:pPr>
        <w:ind w:left="4957" w:hanging="360"/>
      </w:pPr>
      <w:rPr>
        <w:rFonts w:hint="default"/>
        <w:lang w:val="en-US" w:eastAsia="en-US" w:bidi="ar-SA"/>
      </w:rPr>
    </w:lvl>
    <w:lvl w:ilvl="8" w:tplc="3A6CA82C">
      <w:numFmt w:val="bullet"/>
      <w:lvlText w:val="•"/>
      <w:lvlJc w:val="left"/>
      <w:pPr>
        <w:ind w:left="5646" w:hanging="360"/>
      </w:pPr>
      <w:rPr>
        <w:rFonts w:hint="default"/>
        <w:lang w:val="en-US" w:eastAsia="en-US" w:bidi="ar-SA"/>
      </w:rPr>
    </w:lvl>
  </w:abstractNum>
  <w:num w:numId="1" w16cid:durableId="1077703638">
    <w:abstractNumId w:val="2"/>
  </w:num>
  <w:num w:numId="2" w16cid:durableId="1210801573">
    <w:abstractNumId w:val="1"/>
  </w:num>
  <w:num w:numId="3" w16cid:durableId="1958873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4C"/>
    <w:rsid w:val="000112D2"/>
    <w:rsid w:val="00076EBC"/>
    <w:rsid w:val="000B4C4C"/>
    <w:rsid w:val="000F519D"/>
    <w:rsid w:val="0011755D"/>
    <w:rsid w:val="00167B1B"/>
    <w:rsid w:val="00196AE3"/>
    <w:rsid w:val="002A73C2"/>
    <w:rsid w:val="002B1E49"/>
    <w:rsid w:val="00376308"/>
    <w:rsid w:val="00377DA2"/>
    <w:rsid w:val="003C1154"/>
    <w:rsid w:val="0043225C"/>
    <w:rsid w:val="00536FB8"/>
    <w:rsid w:val="00554758"/>
    <w:rsid w:val="005E40FD"/>
    <w:rsid w:val="00692FEE"/>
    <w:rsid w:val="0069768E"/>
    <w:rsid w:val="006D4075"/>
    <w:rsid w:val="00723FD9"/>
    <w:rsid w:val="0072654F"/>
    <w:rsid w:val="00792887"/>
    <w:rsid w:val="007A2A27"/>
    <w:rsid w:val="007A4E12"/>
    <w:rsid w:val="00803BEE"/>
    <w:rsid w:val="00876D8F"/>
    <w:rsid w:val="00885377"/>
    <w:rsid w:val="00B0513B"/>
    <w:rsid w:val="00B31602"/>
    <w:rsid w:val="00C430EE"/>
    <w:rsid w:val="00C868E2"/>
    <w:rsid w:val="00CE2AB6"/>
    <w:rsid w:val="00DB05AF"/>
    <w:rsid w:val="00DD63B7"/>
    <w:rsid w:val="00DE6483"/>
    <w:rsid w:val="00E17E95"/>
    <w:rsid w:val="00F01522"/>
    <w:rsid w:val="00F453A5"/>
    <w:rsid w:val="00F53E78"/>
    <w:rsid w:val="00FF03D6"/>
    <w:rsid w:val="00FF3F4E"/>
    <w:rsid w:val="02F87CE8"/>
    <w:rsid w:val="07644E99"/>
    <w:rsid w:val="0B7B8BB4"/>
    <w:rsid w:val="0F91F30C"/>
    <w:rsid w:val="15B7ADEE"/>
    <w:rsid w:val="1D47A66F"/>
    <w:rsid w:val="25A54CF2"/>
    <w:rsid w:val="2F638EDF"/>
    <w:rsid w:val="342B4185"/>
    <w:rsid w:val="3AE1CB5C"/>
    <w:rsid w:val="4351E496"/>
    <w:rsid w:val="5696130B"/>
    <w:rsid w:val="60F79A22"/>
    <w:rsid w:val="66E1B5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1F0D"/>
  <w15:chartTrackingRefBased/>
  <w15:docId w15:val="{EC707CD1-C860-4AE5-90A2-EA944E1B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C4C"/>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0B4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C4C"/>
    <w:rPr>
      <w:rFonts w:eastAsiaTheme="majorEastAsia" w:cstheme="majorBidi"/>
      <w:color w:val="272727" w:themeColor="text1" w:themeTint="D8"/>
    </w:rPr>
  </w:style>
  <w:style w:type="paragraph" w:styleId="Title">
    <w:name w:val="Title"/>
    <w:basedOn w:val="Normal"/>
    <w:next w:val="Normal"/>
    <w:link w:val="TitleChar"/>
    <w:uiPriority w:val="10"/>
    <w:qFormat/>
    <w:rsid w:val="000B4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C4C"/>
    <w:pPr>
      <w:spacing w:before="160"/>
      <w:jc w:val="center"/>
    </w:pPr>
    <w:rPr>
      <w:i/>
      <w:iCs/>
      <w:color w:val="404040" w:themeColor="text1" w:themeTint="BF"/>
    </w:rPr>
  </w:style>
  <w:style w:type="character" w:customStyle="1" w:styleId="QuoteChar">
    <w:name w:val="Quote Char"/>
    <w:basedOn w:val="DefaultParagraphFont"/>
    <w:link w:val="Quote"/>
    <w:uiPriority w:val="29"/>
    <w:rsid w:val="000B4C4C"/>
    <w:rPr>
      <w:i/>
      <w:iCs/>
      <w:color w:val="404040" w:themeColor="text1" w:themeTint="BF"/>
    </w:rPr>
  </w:style>
  <w:style w:type="paragraph" w:styleId="ListParagraph">
    <w:name w:val="List Paragraph"/>
    <w:basedOn w:val="Normal"/>
    <w:uiPriority w:val="34"/>
    <w:qFormat/>
    <w:rsid w:val="000B4C4C"/>
    <w:pPr>
      <w:ind w:left="720"/>
      <w:contextualSpacing/>
    </w:pPr>
  </w:style>
  <w:style w:type="character" w:styleId="IntenseEmphasis">
    <w:name w:val="Intense Emphasis"/>
    <w:basedOn w:val="DefaultParagraphFont"/>
    <w:uiPriority w:val="21"/>
    <w:qFormat/>
    <w:rsid w:val="000B4C4C"/>
    <w:rPr>
      <w:i/>
      <w:iCs/>
      <w:color w:val="0F4761" w:themeColor="accent1" w:themeShade="BF"/>
    </w:rPr>
  </w:style>
  <w:style w:type="paragraph" w:styleId="IntenseQuote">
    <w:name w:val="Intense Quote"/>
    <w:basedOn w:val="Normal"/>
    <w:next w:val="Normal"/>
    <w:link w:val="IntenseQuoteChar"/>
    <w:uiPriority w:val="30"/>
    <w:qFormat/>
    <w:rsid w:val="000B4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C4C"/>
    <w:rPr>
      <w:i/>
      <w:iCs/>
      <w:color w:val="0F4761" w:themeColor="accent1" w:themeShade="BF"/>
    </w:rPr>
  </w:style>
  <w:style w:type="character" w:styleId="IntenseReference">
    <w:name w:val="Intense Reference"/>
    <w:basedOn w:val="DefaultParagraphFont"/>
    <w:uiPriority w:val="32"/>
    <w:qFormat/>
    <w:rsid w:val="000B4C4C"/>
    <w:rPr>
      <w:b/>
      <w:bCs/>
      <w:smallCaps/>
      <w:color w:val="0F4761" w:themeColor="accent1" w:themeShade="BF"/>
      <w:spacing w:val="5"/>
    </w:rPr>
  </w:style>
  <w:style w:type="paragraph" w:styleId="BodyText">
    <w:name w:val="Body Text"/>
    <w:basedOn w:val="Normal"/>
    <w:link w:val="BodyTextChar"/>
    <w:uiPriority w:val="1"/>
    <w:qFormat/>
    <w:rsid w:val="000B4C4C"/>
    <w:pPr>
      <w:widowControl w:val="0"/>
      <w:autoSpaceDE w:val="0"/>
      <w:autoSpaceDN w:val="0"/>
      <w:spacing w:after="0" w:line="240" w:lineRule="auto"/>
    </w:pPr>
    <w:rPr>
      <w:rFonts w:ascii="Arial" w:eastAsia="Arial" w:hAnsi="Arial" w:cs="Arial"/>
      <w:b/>
      <w:bCs/>
      <w:sz w:val="28"/>
      <w:szCs w:val="28"/>
      <w:lang w:eastAsia="en-US"/>
    </w:rPr>
  </w:style>
  <w:style w:type="character" w:customStyle="1" w:styleId="BodyTextChar">
    <w:name w:val="Body Text Char"/>
    <w:basedOn w:val="DefaultParagraphFont"/>
    <w:link w:val="BodyText"/>
    <w:uiPriority w:val="1"/>
    <w:rsid w:val="000B4C4C"/>
    <w:rPr>
      <w:rFonts w:ascii="Arial" w:eastAsia="Arial" w:hAnsi="Arial" w:cs="Arial"/>
      <w:b/>
      <w:bCs/>
      <w:kern w:val="0"/>
      <w:sz w:val="28"/>
      <w:szCs w:val="28"/>
      <w:lang w:val="en-US"/>
      <w14:ligatures w14:val="none"/>
    </w:rPr>
  </w:style>
  <w:style w:type="paragraph" w:customStyle="1" w:styleId="TableParagraph">
    <w:name w:val="Table Paragraph"/>
    <w:basedOn w:val="Normal"/>
    <w:uiPriority w:val="1"/>
    <w:qFormat/>
    <w:rsid w:val="000B4C4C"/>
    <w:pPr>
      <w:widowControl w:val="0"/>
      <w:autoSpaceDE w:val="0"/>
      <w:autoSpaceDN w:val="0"/>
      <w:spacing w:before="120" w:after="0" w:line="240" w:lineRule="auto"/>
      <w:ind w:left="107"/>
    </w:pPr>
    <w:rPr>
      <w:rFonts w:ascii="Arial" w:eastAsia="Arial" w:hAnsi="Arial" w:cs="Arial"/>
      <w:sz w:val="22"/>
      <w:szCs w:val="22"/>
      <w:lang w:eastAsia="en-US"/>
    </w:rPr>
  </w:style>
  <w:style w:type="paragraph" w:customStyle="1" w:styleId="CabStandard">
    <w:name w:val="CabStandard"/>
    <w:basedOn w:val="Normal"/>
    <w:qFormat/>
    <w:rsid w:val="000B4C4C"/>
    <w:pPr>
      <w:numPr>
        <w:numId w:val="3"/>
      </w:numPr>
      <w:spacing w:after="240" w:line="240" w:lineRule="auto"/>
    </w:pPr>
    <w:rPr>
      <w:rFonts w:ascii="Times New Roman" w:eastAsia="Times New Roman" w:hAnsi="Times New Roman" w:cs="Times New Roman"/>
      <w:szCs w:val="20"/>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val="en-US" w:eastAsia="ja-JP"/>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114767-abfc-48d5-849d-dab1395aaca5" xsi:nil="true"/>
    <gc322493f94c46aa8636347690468e7c xmlns="7262bc6f-157f-4950-9665-8e8c6e32c891">
      <Terms xmlns="http://schemas.microsoft.com/office/infopath/2007/PartnerControls"/>
    </gc322493f94c46aa8636347690468e7c>
    <lcf76f155ced4ddcb4097134ff3c332f xmlns="7262bc6f-157f-4950-9665-8e8c6e32c891">
      <Terms xmlns="http://schemas.microsoft.com/office/infopath/2007/PartnerControls"/>
    </lcf76f155ced4ddcb4097134ff3c332f>
    <l4e29f85e1ad45e88784bb078323090d xmlns="7262bc6f-157f-4950-9665-8e8c6e32c891">
      <Terms xmlns="http://schemas.microsoft.com/office/infopath/2007/PartnerControls"/>
    </l4e29f85e1ad45e88784bb078323090d>
    <DueDate xmlns="7262bc6f-157f-4950-9665-8e8c6e32c891" xsi:nil="true"/>
    <AssignedTo xmlns="7262bc6f-157f-4950-9665-8e8c6e32c891">
      <UserInfo>
        <DisplayName/>
        <AccountId xsi:nil="true"/>
        <AccountType/>
      </UserInfo>
    </AssignedTo>
    <_dlc_DocId xmlns="4d114767-abfc-48d5-849d-dab1395aaca5">7PTPJVZXW2PZ-268349746-17447</_dlc_DocId>
    <_dlc_DocIdUrl xmlns="4d114767-abfc-48d5-849d-dab1395aaca5">
      <Url>https://ministryofjusticenz.sharepoint.com/sites/POLF/_layouts/15/DocIdRedir.aspx?ID=7PTPJVZXW2PZ-268349746-17447</Url>
      <Description>7PTPJVZXW2PZ-268349746-17447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OL Document" ma:contentTypeID="0x010100F303CBF5EE943E45AC9885972CD21A0F0100E1DBA7B900A80C48A394DDEABD5C372F" ma:contentTypeVersion="15" ma:contentTypeDescription="" ma:contentTypeScope="" ma:versionID="38cec868d2c571658c84584d0b34d21b">
  <xsd:schema xmlns:xsd="http://www.w3.org/2001/XMLSchema" xmlns:xs="http://www.w3.org/2001/XMLSchema" xmlns:p="http://schemas.microsoft.com/office/2006/metadata/properties" xmlns:ns2="7262bc6f-157f-4950-9665-8e8c6e32c891" xmlns:ns3="4d114767-abfc-48d5-849d-dab1395aaca5" targetNamespace="http://schemas.microsoft.com/office/2006/metadata/properties" ma:root="true" ma:fieldsID="ed3ecdf5b83399bfc204df1a5b2abd88" ns2:_="" ns3:_="">
    <xsd:import namespace="7262bc6f-157f-4950-9665-8e8c6e32c891"/>
    <xsd:import namespace="4d114767-abfc-48d5-849d-dab1395aaca5"/>
    <xsd:element name="properties">
      <xsd:complexType>
        <xsd:sequence>
          <xsd:element name="documentManagement">
            <xsd:complexType>
              <xsd:all>
                <xsd:element ref="ns2:gc322493f94c46aa8636347690468e7c" minOccurs="0"/>
                <xsd:element ref="ns3:TaxCatchAll" minOccurs="0"/>
                <xsd:element ref="ns2:TaxCatchAllLabel" minOccurs="0"/>
                <xsd:element ref="ns2:l4e29f85e1ad45e88784bb078323090d" minOccurs="0"/>
                <xsd:element ref="ns3:_dlc_DocId" minOccurs="0"/>
                <xsd:element ref="ns3:_dlc_DocIdUrl" minOccurs="0"/>
                <xsd:element ref="ns3:_dlc_DocIdPersistId" minOccurs="0"/>
                <xsd:element ref="ns2:MediaServiceMetadata" minOccurs="0"/>
                <xsd:element ref="ns2:MediaServiceFastMetadata" minOccurs="0"/>
                <xsd:element ref="ns2:MediaServiceSearchProperties" minOccurs="0"/>
                <xsd:element ref="ns2:MediaServiceObjectDetectorVersions" minOccurs="0"/>
                <xsd:element ref="ns2:AssignedTo" minOccurs="0"/>
                <xsd:element ref="ns2:DueDate"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2bc6f-157f-4950-9665-8e8c6e32c891" elementFormDefault="qualified">
    <xsd:import namespace="http://schemas.microsoft.com/office/2006/documentManagement/types"/>
    <xsd:import namespace="http://schemas.microsoft.com/office/infopath/2007/PartnerControls"/>
    <xsd:element name="gc322493f94c46aa8636347690468e7c" ma:index="8" nillable="true" ma:taxonomy="true" ma:internalName="gc322493f94c46aa8636347690468e7c" ma:taxonomyFieldName="BusinessActivity" ma:displayName="Business Activity" ma:default="" ma:fieldId="{0c322493-f94c-46aa-8636-347690468e7c}" ma:sspId="e1e2d475-dc97-41b9-a896-027d07f5a0e8" ma:termSetId="7fdcff37-7cb5-40ea-bfab-422af305800c" ma:anchorId="00000000-0000-0000-0000-000000000000" ma:open="false" ma:isKeyword="false">
      <xsd:complexType>
        <xsd:sequence>
          <xsd:element ref="pc:Terms" minOccurs="0" maxOccurs="1"/>
        </xsd:sequence>
      </xsd:complexType>
    </xsd:element>
    <xsd:element name="TaxCatchAllLabel" ma:index="10" nillable="true" ma:displayName="Taxonomy Catch All Column1" ma:hidden="true" ma:list="{89059cf4-c3c5-4e64-af52-2c22d8e492b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l4e29f85e1ad45e88784bb078323090d" ma:index="12" nillable="true" ma:taxonomy="true" ma:internalName="l4e29f85e1ad45e88784bb078323090d" ma:taxonomyFieldName="DocumentType" ma:displayName="Document Type" ma:default="" ma:fieldId="{54e29f85-e1ad-45e8-8784-bb078323090d}" ma:sspId="e1e2d475-dc97-41b9-a896-027d07f5a0e8" ma:termSetId="9a0f1dcf-5ff3-4310-bcf0-a07d8c551956"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ueDate" ma:index="22" nillable="true" ma:displayName="Due Date" ma:format="DateOnly" ma:internalName="Du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1e2d475-dc97-41b9-a896-027d07f5a0e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114767-abfc-48d5-849d-dab1395aaca5"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89059cf4-c3c5-4e64-af52-2c22d8e492b5}" ma:internalName="TaxCatchAll" ma:showField="CatchAllData" ma:web="4d114767-abfc-48d5-849d-dab1395aaca5">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24C15-27CF-497D-B490-C7C27E44005C}">
  <ds:schemaRefs>
    <ds:schemaRef ds:uri="http://schemas.microsoft.com/office/2006/metadata/properties"/>
    <ds:schemaRef ds:uri="http://schemas.microsoft.com/office/infopath/2007/PartnerControls"/>
    <ds:schemaRef ds:uri="4d114767-abfc-48d5-849d-dab1395aaca5"/>
    <ds:schemaRef ds:uri="7262bc6f-157f-4950-9665-8e8c6e32c891"/>
  </ds:schemaRefs>
</ds:datastoreItem>
</file>

<file path=customXml/itemProps2.xml><?xml version="1.0" encoding="utf-8"?>
<ds:datastoreItem xmlns:ds="http://schemas.openxmlformats.org/officeDocument/2006/customXml" ds:itemID="{9E3612BF-414B-4426-820E-CCE55E659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2bc6f-157f-4950-9665-8e8c6e32c891"/>
    <ds:schemaRef ds:uri="4d114767-abfc-48d5-849d-dab1395aa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3B1B4-60C3-4258-8A6D-876965090E89}">
  <ds:schemaRefs>
    <ds:schemaRef ds:uri="http://schemas.microsoft.com/sharepoint/events"/>
  </ds:schemaRefs>
</ds:datastoreItem>
</file>

<file path=customXml/itemProps4.xml><?xml version="1.0" encoding="utf-8"?>
<ds:datastoreItem xmlns:ds="http://schemas.openxmlformats.org/officeDocument/2006/customXml" ds:itemID="{A7BA6829-4A63-497F-B6AE-B0BEBC738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953</Words>
  <Characters>5433</Characters>
  <Application>Microsoft Office Word</Application>
  <DocSecurity>0</DocSecurity>
  <Lines>45</Lines>
  <Paragraphs>12</Paragraphs>
  <ScaleCrop>false</ScaleCrop>
  <Company>Ministry of Justice</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Ryland, Scott</dc:creator>
  <cp:keywords/>
  <dc:description/>
  <cp:lastModifiedBy>Ryland, Scott</cp:lastModifiedBy>
  <cp:revision>24</cp:revision>
  <dcterms:created xsi:type="dcterms:W3CDTF">2026-05-28T23:53:00Z</dcterms:created>
  <dcterms:modified xsi:type="dcterms:W3CDTF">2026-06-03T22:06:00Z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0x010100F303CBF5EE943E45AC9885972CD21A0F0100E1DBA7B900A80C48A394DDEABD5C372F</vt:lpwstr>
  </property>
  <property fmtid="{D5CDD505-2E9C-101B-9397-08002B2CF9AE}" pid="3" name="BusinessActivity">
    <vt:lpwstr/>
  </property>
  <property fmtid="{D5CDD505-2E9C-101B-9397-08002B2CF9AE}" pid="4" name="DocumentType">
    <vt:lpwstr/>
  </property>
  <property fmtid="{D5CDD505-2E9C-101B-9397-08002B2CF9AE}" pid="5" name="_dlc_DocIdItemGuid">
    <vt:lpwstr>42eff0e0-165a-4500-9b49-a73ff9dc601c</vt:lpwstr>
  </property>
  <property fmtid="{D5CDD505-2E9C-101B-9397-08002B2CF9AE}" pid="6" name="MediaServiceImageTags">
    <vt:lpwstr/>
  </property>
  <property fmtid="{D5CDD505-2E9C-101B-9397-08002B2CF9AE}" pid="7" name="_AdHocReviewCycleID">
    <vt:i4>1362480880</vt:i4>
  </property>
  <property fmtid="{D5CDD505-2E9C-101B-9397-08002B2CF9AE}" pid="8" name="_NewReviewCycle">
    <vt:lpwstr/>
  </property>
  <property fmtid="{D5CDD505-2E9C-101B-9397-08002B2CF9AE}" pid="9" name="_EmailSubject">
    <vt:lpwstr>Chair recruitment - new jurisdiction</vt:lpwstr>
  </property>
  <property fmtid="{D5CDD505-2E9C-101B-9397-08002B2CF9AE}" pid="10" name="_AuthorEmail">
    <vt:lpwstr>Jessie.Henderson@justice.govt.nz</vt:lpwstr>
  </property>
  <property fmtid="{D5CDD505-2E9C-101B-9397-08002B2CF9AE}" pid="11" name="_AuthorEmailDisplayName">
    <vt:lpwstr>Henderson, Jessie</vt:lpwstr>
  </property>
  <property fmtid="{D5CDD505-2E9C-101B-9397-08002B2CF9AE}" pid="12" name="_PreviousAdHocReviewCycleID">
    <vt:i4>1640473032</vt:i4>
  </property>
</Properties>
</file>